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8"/>
          <w:szCs w:val="28"/>
        </w:rPr>
      </w:pPr>
      <w:r>
        <w:rPr>
          <w:rFonts w:hint="eastAsia"/>
          <w:b/>
          <w:sz w:val="28"/>
          <w:szCs w:val="28"/>
        </w:rPr>
        <w:t>一种换能器测试装夹装置</w:t>
      </w:r>
    </w:p>
    <w:p>
      <w:pPr>
        <w:ind w:firstLine="560" w:firstLineChars="200"/>
        <w:jc w:val="left"/>
        <w:rPr>
          <w:sz w:val="28"/>
          <w:szCs w:val="28"/>
        </w:rPr>
      </w:pPr>
      <w:r>
        <w:rPr>
          <w:rFonts w:hint="eastAsia"/>
          <w:sz w:val="28"/>
          <w:szCs w:val="28"/>
        </w:rPr>
        <w:t>本实用新型公开了一种</w:t>
      </w:r>
      <w:r>
        <w:rPr>
          <w:rFonts w:hint="eastAsia"/>
          <w:b/>
          <w:sz w:val="28"/>
          <w:szCs w:val="28"/>
        </w:rPr>
        <w:t>换能器测试装夹装置</w:t>
      </w:r>
      <w:r>
        <w:rPr>
          <w:rFonts w:hint="eastAsia"/>
          <w:sz w:val="28"/>
          <w:szCs w:val="28"/>
        </w:rPr>
        <w:t>，主要包含固定板、密封腔体、密封端盖。</w:t>
      </w:r>
    </w:p>
    <w:p>
      <w:pPr>
        <w:jc w:val="left"/>
        <w:rPr>
          <w:b/>
          <w:sz w:val="28"/>
          <w:szCs w:val="28"/>
        </w:rPr>
      </w:pPr>
      <w:r>
        <w:rPr>
          <w:rFonts w:hint="eastAsia"/>
          <w:b/>
          <w:sz w:val="28"/>
          <w:szCs w:val="28"/>
        </w:rPr>
        <w:t>背景技术：</w:t>
      </w:r>
    </w:p>
    <w:p>
      <w:pPr>
        <w:ind w:firstLine="560" w:firstLineChars="200"/>
        <w:jc w:val="left"/>
        <w:rPr>
          <w:rFonts w:hint="eastAsia"/>
          <w:sz w:val="28"/>
          <w:szCs w:val="28"/>
        </w:rPr>
      </w:pPr>
      <w:r>
        <w:rPr>
          <w:rFonts w:hint="eastAsia"/>
          <w:sz w:val="28"/>
          <w:szCs w:val="28"/>
        </w:rPr>
        <w:t>随着水声系统和装备逐渐技术的突破，对水声系统的远距离通信、低噪声目标识别、低噪声特性目标探测性能提出更高要求。换能器作为水声系统的前端设备，对水声系统的性能有着重要影响。快速高效准确的完成换能器水声性能的测试，对于整个水声系统的调试、试验起关键影响。</w:t>
      </w:r>
    </w:p>
    <w:p>
      <w:pPr>
        <w:jc w:val="left"/>
        <w:rPr>
          <w:rFonts w:hint="eastAsia" w:ascii="宋体" w:hAnsi="宋体"/>
          <w:b/>
          <w:sz w:val="28"/>
          <w:szCs w:val="28"/>
        </w:rPr>
      </w:pPr>
    </w:p>
    <w:p>
      <w:pPr>
        <w:jc w:val="left"/>
        <w:rPr>
          <w:rFonts w:ascii="宋体" w:hAnsi="宋体"/>
          <w:b/>
          <w:sz w:val="28"/>
          <w:szCs w:val="28"/>
        </w:rPr>
      </w:pPr>
      <w:bookmarkStart w:id="0" w:name="_GoBack"/>
      <w:bookmarkEnd w:id="0"/>
      <w:r>
        <w:rPr>
          <w:rFonts w:hint="eastAsia" w:ascii="宋体" w:hAnsi="宋体"/>
          <w:b/>
          <w:sz w:val="28"/>
          <w:szCs w:val="28"/>
        </w:rPr>
        <w:t>实用新型内容：</w:t>
      </w:r>
    </w:p>
    <w:p>
      <w:pPr>
        <w:ind w:firstLine="570"/>
        <w:jc w:val="left"/>
        <w:rPr>
          <w:sz w:val="28"/>
          <w:szCs w:val="28"/>
        </w:rPr>
      </w:pPr>
      <w:r>
        <w:rPr>
          <w:rFonts w:hint="eastAsia"/>
          <w:sz w:val="28"/>
          <w:szCs w:val="28"/>
        </w:rPr>
        <w:t>本实用新型的目的在于提供一种换能器测试装夹装置，以解决公司目前多种换能器测试需要，操作方便，通用性强，可适用于多种换能器。</w:t>
      </w:r>
    </w:p>
    <w:p>
      <w:pPr>
        <w:ind w:firstLine="560" w:firstLineChars="200"/>
        <w:jc w:val="left"/>
        <w:rPr>
          <w:rFonts w:hint="eastAsia"/>
          <w:sz w:val="28"/>
          <w:szCs w:val="28"/>
        </w:rPr>
      </w:pPr>
      <w:r>
        <w:rPr>
          <w:rFonts w:hint="eastAsia"/>
          <w:sz w:val="28"/>
          <w:szCs w:val="28"/>
        </w:rPr>
        <w:t>为解决经常换能器测试时拆卸、密封及精度问题，本实用新型设计时提供如下技术方案：1、采用设计通用检测部分，使用时仅拆卸中间的转换零件（密封端盖），定位孔进行定位和固定，实现装配方便，提高装配效率；2、水密电缆采用螺柱压缩密封垫圈实现检测电缆的密封，转换零件部分采用双道径向密封结构，实现拆装后的密封双保险；3、为解决测试精度问题，严格控制测试装夹装置的安装精度和接口尺寸。</w:t>
      </w:r>
    </w:p>
    <w:p>
      <w:pPr>
        <w:ind w:firstLine="560" w:firstLineChars="200"/>
        <w:jc w:val="left"/>
        <w:rPr>
          <w:sz w:val="28"/>
          <w:szCs w:val="28"/>
        </w:rPr>
      </w:pPr>
      <w:r>
        <w:rPr>
          <w:rFonts w:hint="eastAsia"/>
          <w:sz w:val="28"/>
          <w:szCs w:val="28"/>
        </w:rPr>
        <w:t>其特征在于支撑部件、电缆固定部件、产品接口部件。</w:t>
      </w:r>
    </w:p>
    <w:p>
      <w:pPr>
        <w:autoSpaceDE w:val="0"/>
        <w:autoSpaceDN w:val="0"/>
        <w:adjustRightInd w:val="0"/>
        <w:ind w:firstLine="560" w:firstLineChars="200"/>
        <w:jc w:val="left"/>
        <w:rPr>
          <w:sz w:val="28"/>
          <w:szCs w:val="28"/>
        </w:rPr>
      </w:pPr>
      <w:r>
        <w:rPr>
          <w:rFonts w:hint="eastAsia"/>
          <w:sz w:val="28"/>
          <w:szCs w:val="28"/>
        </w:rPr>
        <w:t>支撑部件：由固定板、螺钉组成，固定板由侧板和上班焊接而成。</w:t>
      </w:r>
      <w:r>
        <w:rPr>
          <w:sz w:val="28"/>
          <w:szCs w:val="28"/>
        </w:rPr>
        <w:t xml:space="preserve"> </w:t>
      </w:r>
    </w:p>
    <w:p>
      <w:pPr>
        <w:autoSpaceDE w:val="0"/>
        <w:autoSpaceDN w:val="0"/>
        <w:adjustRightInd w:val="0"/>
        <w:ind w:firstLine="560" w:firstLineChars="200"/>
        <w:jc w:val="left"/>
        <w:rPr>
          <w:sz w:val="28"/>
          <w:szCs w:val="28"/>
        </w:rPr>
      </w:pPr>
      <w:r>
        <w:rPr>
          <w:rFonts w:hint="eastAsia"/>
          <w:sz w:val="28"/>
          <w:szCs w:val="28"/>
        </w:rPr>
        <w:t>电缆固定部件：由密封腔体、O型圈、螺柱、垫片、橡胶垫圈组成</w:t>
      </w:r>
    </w:p>
    <w:p>
      <w:pPr>
        <w:autoSpaceDE w:val="0"/>
        <w:autoSpaceDN w:val="0"/>
        <w:adjustRightInd w:val="0"/>
        <w:ind w:firstLine="560" w:firstLineChars="200"/>
        <w:jc w:val="left"/>
        <w:rPr>
          <w:sz w:val="28"/>
          <w:szCs w:val="28"/>
        </w:rPr>
      </w:pPr>
      <w:r>
        <w:rPr>
          <w:rFonts w:hint="eastAsia"/>
          <w:sz w:val="28"/>
          <w:szCs w:val="28"/>
        </w:rPr>
        <w:t>产品接口部件：密封端盖、O型圈、换能器组成</w:t>
      </w:r>
    </w:p>
    <w:p>
      <w:pPr>
        <w:autoSpaceDE w:val="0"/>
        <w:autoSpaceDN w:val="0"/>
        <w:adjustRightInd w:val="0"/>
        <w:ind w:left="-708" w:leftChars="-472" w:hanging="283" w:hangingChars="135"/>
        <w:jc w:val="center"/>
        <w:rPr>
          <w:sz w:val="28"/>
          <w:szCs w:val="28"/>
        </w:rPr>
      </w:pPr>
      <w:r>
        <w:drawing>
          <wp:inline distT="0" distB="0" distL="0" distR="0">
            <wp:extent cx="6830060" cy="6066790"/>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30060" cy="6066790"/>
                    </a:xfrm>
                    <a:prstGeom prst="rect">
                      <a:avLst/>
                    </a:prstGeom>
                    <a:noFill/>
                    <a:ln>
                      <a:noFill/>
                    </a:ln>
                  </pic:spPr>
                </pic:pic>
              </a:graphicData>
            </a:graphic>
          </wp:inline>
        </w:drawing>
      </w:r>
    </w:p>
    <w:p>
      <w:pPr>
        <w:jc w:val="left"/>
        <w:rPr>
          <w:b/>
          <w:sz w:val="28"/>
          <w:szCs w:val="28"/>
        </w:rPr>
      </w:pPr>
      <w:r>
        <w:rPr>
          <w:rFonts w:hint="eastAsia"/>
          <w:b/>
          <w:sz w:val="28"/>
          <w:szCs w:val="28"/>
        </w:rPr>
        <w:t>附图说明：</w:t>
      </w:r>
    </w:p>
    <w:p>
      <w:pPr>
        <w:jc w:val="left"/>
        <w:rPr>
          <w:sz w:val="28"/>
          <w:szCs w:val="28"/>
        </w:rPr>
      </w:pPr>
      <w:r>
        <w:rPr>
          <w:rFonts w:hint="eastAsia"/>
          <w:sz w:val="28"/>
          <w:szCs w:val="28"/>
        </w:rPr>
        <w:t>1：起吊机构  2：紧固螺钉      3：固定板   4：测试电缆</w:t>
      </w:r>
    </w:p>
    <w:p>
      <w:pPr>
        <w:jc w:val="left"/>
        <w:rPr>
          <w:sz w:val="28"/>
          <w:szCs w:val="28"/>
        </w:rPr>
      </w:pPr>
      <w:r>
        <w:rPr>
          <w:rFonts w:hint="eastAsia"/>
          <w:sz w:val="28"/>
          <w:szCs w:val="28"/>
        </w:rPr>
        <w:t xml:space="preserve">5：连接螺钉    6： 密封腔体    7： 定位螺钉  8：换能器 </w:t>
      </w:r>
    </w:p>
    <w:p>
      <w:pPr>
        <w:jc w:val="left"/>
        <w:rPr>
          <w:rFonts w:hint="eastAsia"/>
          <w:sz w:val="28"/>
          <w:szCs w:val="28"/>
        </w:rPr>
      </w:pPr>
      <w:r>
        <w:rPr>
          <w:rFonts w:hint="eastAsia"/>
          <w:sz w:val="28"/>
          <w:szCs w:val="28"/>
        </w:rPr>
        <w:t xml:space="preserve">9：螺柱   10：垫片      11：密封垫圈    12：密封端盖  </w:t>
      </w:r>
    </w:p>
    <w:p>
      <w:pPr>
        <w:jc w:val="left"/>
        <w:rPr>
          <w:rFonts w:hint="eastAsia"/>
          <w:sz w:val="28"/>
          <w:szCs w:val="28"/>
        </w:rPr>
      </w:pPr>
      <w:r>
        <w:rPr>
          <w:rFonts w:hint="eastAsia"/>
          <w:sz w:val="28"/>
          <w:szCs w:val="28"/>
        </w:rPr>
        <w:t xml:space="preserve">13、O型圈1   14：O型圈2   </w:t>
      </w:r>
    </w:p>
    <w:p>
      <w:pPr>
        <w:jc w:val="center"/>
        <w:rPr>
          <w:rFonts w:hint="eastAsia"/>
          <w:sz w:val="28"/>
          <w:szCs w:val="28"/>
        </w:rPr>
      </w:pPr>
      <w:r>
        <w:drawing>
          <wp:inline distT="0" distB="0" distL="0" distR="0">
            <wp:extent cx="5486400" cy="584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6400" cy="5848350"/>
                    </a:xfrm>
                    <a:prstGeom prst="rect">
                      <a:avLst/>
                    </a:prstGeom>
                  </pic:spPr>
                </pic:pic>
              </a:graphicData>
            </a:graphic>
          </wp:inline>
        </w:drawing>
      </w:r>
    </w:p>
    <w:p>
      <w:pPr>
        <w:jc w:val="center"/>
        <w:rPr>
          <w:rFonts w:hint="eastAsia"/>
          <w:sz w:val="28"/>
          <w:szCs w:val="28"/>
        </w:rPr>
      </w:pPr>
      <w:r>
        <w:rPr>
          <w:rFonts w:hint="eastAsia"/>
          <w:sz w:val="28"/>
          <w:szCs w:val="28"/>
        </w:rPr>
        <w:t>工装图</w:t>
      </w:r>
      <w:r>
        <w:drawing>
          <wp:inline distT="0" distB="0" distL="0" distR="0">
            <wp:extent cx="5475605" cy="1440815"/>
            <wp:effectExtent l="0" t="0" r="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8"/>
                    <a:stretch>
                      <a:fillRect/>
                    </a:stretch>
                  </pic:blipFill>
                  <pic:spPr>
                    <a:xfrm>
                      <a:off x="0" y="0"/>
                      <a:ext cx="5476322" cy="1441337"/>
                    </a:xfrm>
                    <a:prstGeom prst="rect">
                      <a:avLst/>
                    </a:prstGeom>
                  </pic:spPr>
                </pic:pic>
              </a:graphicData>
            </a:graphic>
          </wp:inline>
        </w:drawing>
      </w:r>
    </w:p>
    <w:p>
      <w:pPr>
        <w:jc w:val="center"/>
        <w:rPr>
          <w:rFonts w:hint="eastAsia"/>
          <w:sz w:val="28"/>
          <w:szCs w:val="28"/>
        </w:rPr>
      </w:pPr>
      <w:r>
        <w:rPr>
          <w:rFonts w:hint="eastAsia"/>
          <w:sz w:val="28"/>
          <w:szCs w:val="28"/>
        </w:rPr>
        <w:t>双密封图</w:t>
      </w:r>
    </w:p>
    <w:p>
      <w:pPr>
        <w:jc w:val="center"/>
        <w:rPr>
          <w:rFonts w:hint="eastAsia"/>
          <w:sz w:val="28"/>
          <w:szCs w:val="28"/>
        </w:rPr>
      </w:pPr>
      <w:r>
        <w:drawing>
          <wp:inline distT="0" distB="0" distL="0" distR="0">
            <wp:extent cx="5390515" cy="1068705"/>
            <wp:effectExtent l="0" t="0" r="63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
                    <a:stretch>
                      <a:fillRect/>
                    </a:stretch>
                  </pic:blipFill>
                  <pic:spPr>
                    <a:xfrm>
                      <a:off x="0" y="0"/>
                      <a:ext cx="5424361" cy="1075454"/>
                    </a:xfrm>
                    <a:prstGeom prst="rect">
                      <a:avLst/>
                    </a:prstGeom>
                  </pic:spPr>
                </pic:pic>
              </a:graphicData>
            </a:graphic>
          </wp:inline>
        </w:drawing>
      </w:r>
    </w:p>
    <w:p>
      <w:pPr>
        <w:jc w:val="center"/>
        <w:rPr>
          <w:sz w:val="28"/>
          <w:szCs w:val="28"/>
        </w:rPr>
      </w:pPr>
      <w:r>
        <w:rPr>
          <w:rFonts w:hint="eastAsia"/>
          <w:sz w:val="28"/>
          <w:szCs w:val="28"/>
        </w:rPr>
        <w:t>换能器与检测电缆连接图</w:t>
      </w:r>
    </w:p>
    <w:p>
      <w:pPr>
        <w:jc w:val="left"/>
        <w:rPr>
          <w:sz w:val="28"/>
          <w:szCs w:val="28"/>
        </w:rPr>
      </w:pPr>
      <w:r>
        <w:rPr>
          <w:rFonts w:hint="eastAsia"/>
          <w:sz w:val="28"/>
          <w:szCs w:val="28"/>
        </w:rPr>
        <w:t xml:space="preserve">    具体实施方式：</w:t>
      </w:r>
    </w:p>
    <w:p>
      <w:pPr>
        <w:ind w:firstLine="560" w:firstLineChars="200"/>
        <w:jc w:val="left"/>
        <w:rPr>
          <w:rFonts w:hint="eastAsia"/>
          <w:sz w:val="28"/>
          <w:szCs w:val="28"/>
        </w:rPr>
      </w:pPr>
      <w:r>
        <w:rPr>
          <w:rFonts w:hint="eastAsia"/>
          <w:sz w:val="28"/>
          <w:szCs w:val="28"/>
        </w:rPr>
        <w:t>换能器在水下3米深处进行测试，将被测换能器安装至本装置，将整个测试装夹装置安装于起吊机构，以换能器声中心位置作为参考，控制起吊机构将换能器下放至3米水深，通过测试装夹装置的测试电缆将被测换能器与测试系统连接。</w:t>
      </w:r>
    </w:p>
    <w:p>
      <w:pPr>
        <w:ind w:firstLine="560" w:firstLineChars="200"/>
        <w:jc w:val="left"/>
        <w:rPr>
          <w:rFonts w:hint="eastAsia"/>
          <w:sz w:val="28"/>
          <w:szCs w:val="28"/>
        </w:rPr>
      </w:pPr>
      <w:r>
        <w:rPr>
          <w:rFonts w:hint="eastAsia"/>
          <w:sz w:val="28"/>
          <w:szCs w:val="28"/>
        </w:rPr>
        <w:t>本装置序号1、2、3、4、5、6、7、9、10、11、12组成装夹装置的通用部分，</w:t>
      </w:r>
      <w:r>
        <w:rPr>
          <w:rFonts w:hint="eastAsia"/>
          <w:sz w:val="28"/>
          <w:szCs w:val="28"/>
          <w:highlight w:val="yellow"/>
        </w:rPr>
        <w:t>序号12、13则根据8的型号和接口不同进行更换</w:t>
      </w:r>
      <w:r>
        <w:rPr>
          <w:rFonts w:hint="eastAsia"/>
          <w:sz w:val="28"/>
          <w:szCs w:val="28"/>
        </w:rPr>
        <w:t>。使用时先将通用部分进行装配，将固定板3与起吊机构1使用紧固螺钉2进行装配固定，将密封腔体6通过3个连接螺钉5与固定板进行装配固定，然后将测试电缆4穿入螺柱9、</w:t>
      </w:r>
      <w:commentRangeStart w:id="0"/>
      <w:r>
        <w:rPr>
          <w:rFonts w:hint="eastAsia"/>
          <w:sz w:val="28"/>
          <w:szCs w:val="28"/>
          <w:highlight w:val="yellow"/>
        </w:rPr>
        <w:t>垫片10、密封垫圈11</w:t>
      </w:r>
      <w:commentRangeEnd w:id="0"/>
      <w:r>
        <w:commentReference w:id="0"/>
      </w:r>
      <w:r>
        <w:rPr>
          <w:rFonts w:hint="eastAsia"/>
          <w:sz w:val="28"/>
          <w:szCs w:val="28"/>
        </w:rPr>
        <w:t>，然后将螺柱9拧紧进行固定和密封。</w:t>
      </w:r>
      <w:commentRangeStart w:id="1"/>
      <w:r>
        <w:rPr>
          <w:rFonts w:hint="eastAsia"/>
          <w:sz w:val="28"/>
          <w:szCs w:val="28"/>
        </w:rPr>
        <w:t>将换能器8装配O型圈13后装入密封端盖12，</w:t>
      </w:r>
      <w:commentRangeEnd w:id="1"/>
      <w:r>
        <w:commentReference w:id="1"/>
      </w:r>
      <w:r>
        <w:rPr>
          <w:rFonts w:hint="eastAsia"/>
          <w:sz w:val="28"/>
          <w:szCs w:val="28"/>
        </w:rPr>
        <w:t>然后将测试电缆4的另一端与换能器的测试插头进行连接，将装配后的密封端盖与通用部分进行装配，并用定位螺钉进行定位。</w:t>
      </w:r>
    </w:p>
    <w:p>
      <w:pPr>
        <w:ind w:firstLine="560" w:firstLineChars="200"/>
        <w:jc w:val="left"/>
        <w:rPr>
          <w:rFonts w:hint="eastAsia"/>
          <w:sz w:val="28"/>
          <w:szCs w:val="28"/>
        </w:rPr>
      </w:pPr>
      <w:r>
        <w:rPr>
          <w:rFonts w:hint="eastAsia"/>
          <w:sz w:val="28"/>
          <w:szCs w:val="28"/>
        </w:rPr>
        <w:t>由于换能器测试过程中对测试声场条件的要求，在设计装夹装置设计时应考虑不同装夹装置对不同换能器产品不同频率性能的影响。为提高测试精度，在测试前需对被测换能器的声中心进行确定，并做好标记。在测试过程中，应以换能器的声中心作为计算及旋转/移动的基准，故声中心是否对正直接影响测试结果。针对此问题，在设计本装置时，固定板的精度是影响测试精度的关键。固定板由侧板与上板焊接而成，焊接精度要求垂直度与对称度均不大于0.5。使得换能器装配后保持其轴线与上板平行，与侧板垂直的状态，从而提高了测试精度。</w:t>
      </w:r>
    </w:p>
    <w:p>
      <w:pPr>
        <w:ind w:firstLine="560" w:firstLineChars="200"/>
        <w:jc w:val="left"/>
        <w:rPr>
          <w:rFonts w:hint="eastAsia"/>
          <w:sz w:val="28"/>
          <w:szCs w:val="28"/>
        </w:rPr>
      </w:pPr>
      <w:r>
        <w:rPr>
          <w:rFonts w:hint="eastAsia"/>
          <w:sz w:val="28"/>
          <w:szCs w:val="28"/>
        </w:rPr>
        <w:t>使用双道密封结构，能承受2.4MPa以上的水压，被测换能器测试深度均为水下3米，受到的水压为0.03MPa，双道密封结构既保证了密封性能，同时保证了更换方便的装配需求。</w:t>
      </w:r>
    </w:p>
    <w:p>
      <w:pPr>
        <w:ind w:firstLine="560" w:firstLineChars="200"/>
        <w:jc w:val="left"/>
        <w:rPr>
          <w:rFonts w:hint="eastAsia"/>
          <w:sz w:val="28"/>
          <w:szCs w:val="28"/>
        </w:rPr>
      </w:pPr>
      <w:r>
        <w:rPr>
          <w:rFonts w:hint="eastAsia"/>
          <w:sz w:val="28"/>
          <w:szCs w:val="28"/>
        </w:rPr>
        <w:t>检测电缆采用7芯水密电缆，一端与测试系统连接，另一端的插座为通用插头与被测换能器的插头进行连接，装配后不再拆卸，所以检测电缆采用螺柱压缩密封垫圈实现压缩密封，此种设计能承受2.4MPa以上的水压，保证了检测电缆的密封可靠。</w:t>
      </w:r>
    </w:p>
    <w:p>
      <w:pPr>
        <w:ind w:firstLine="560" w:firstLineChars="200"/>
        <w:jc w:val="left"/>
        <w:rPr>
          <w:rFonts w:hint="eastAsia"/>
          <w:sz w:val="28"/>
          <w:szCs w:val="28"/>
        </w:rPr>
      </w:pPr>
      <w:r>
        <w:rPr>
          <w:rFonts w:hint="eastAsia"/>
          <w:sz w:val="28"/>
          <w:szCs w:val="28"/>
        </w:rPr>
        <w:t>在进行水声测试过程中，由于整个测试装夹装置及换能器均处于测试声场条件中，若装夹装置端面大于被测换能器端面最大尺寸，在测试中，由于声音传播的多途效应，会有反射波叠加于被测换能器接收信号中，由于装夹端面与被测换能器声中心位置距离一般不会超过0.2m，采用脉冲声技术也不能将该部分的反射信号排除，故在夹具设计中，密封端盖与换能器装配的一端的外径尺寸须不能大于换能器的最大外径尺寸，如本装置的密封端盖的外径尺寸为50mm，被测换能器的最大外径尺寸为54mm。</w:t>
      </w:r>
    </w:p>
    <w:p>
      <w:pPr>
        <w:jc w:val="left"/>
        <w:rPr>
          <w:rFonts w:hint="eastAsia"/>
          <w:sz w:val="28"/>
          <w:szCs w:val="28"/>
        </w:rPr>
      </w:pPr>
      <w:r>
        <w:rPr>
          <w:rFonts w:hint="eastAsia"/>
          <w:sz w:val="28"/>
          <w:szCs w:val="28"/>
        </w:rPr>
        <w:drawing>
          <wp:inline distT="0" distB="0" distL="0" distR="0">
            <wp:extent cx="3735070" cy="27063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60817" cy="2725026"/>
                    </a:xfrm>
                    <a:prstGeom prst="rect">
                      <a:avLst/>
                    </a:prstGeom>
                    <a:noFill/>
                    <a:ln>
                      <a:noFill/>
                    </a:ln>
                  </pic:spPr>
                </pic:pic>
              </a:graphicData>
            </a:graphic>
          </wp:inline>
        </w:drawing>
      </w:r>
      <w:r>
        <w:rPr>
          <w:rFonts w:hint="eastAsia"/>
          <w:sz w:val="28"/>
          <w:szCs w:val="28"/>
        </w:rPr>
        <w:drawing>
          <wp:inline distT="0" distB="0" distL="0" distR="0">
            <wp:extent cx="1998980" cy="4986655"/>
            <wp:effectExtent l="0" t="0" r="127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98980" cy="4986655"/>
                    </a:xfrm>
                    <a:prstGeom prst="rect">
                      <a:avLst/>
                    </a:prstGeom>
                    <a:noFill/>
                    <a:ln>
                      <a:noFill/>
                    </a:ln>
                  </pic:spPr>
                </pic:pic>
              </a:graphicData>
            </a:graphic>
          </wp:inline>
        </w:drawing>
      </w:r>
    </w:p>
    <w:p>
      <w:pPr>
        <w:ind w:firstLine="560" w:firstLineChars="200"/>
        <w:jc w:val="center"/>
        <w:rPr>
          <w:rFonts w:hint="eastAsia"/>
          <w:sz w:val="28"/>
          <w:szCs w:val="28"/>
        </w:rPr>
      </w:pPr>
      <w:r>
        <w:rPr>
          <w:rFonts w:hint="eastAsia"/>
          <w:sz w:val="28"/>
          <w:szCs w:val="28"/>
        </w:rPr>
        <w:t>被测换能器</w:t>
      </w:r>
    </w:p>
    <w:sectPr>
      <w:pgSz w:w="11906" w:h="16838"/>
      <w:pgMar w:top="1418" w:right="1134" w:bottom="1418" w:left="1701"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aomiaobaige" w:date="2021-06-21T14:19:16Z" w:initials="m">
    <w:p w14:paraId="45105271">
      <w:pPr>
        <w:pStyle w:val="2"/>
        <w:rPr>
          <w:rFonts w:hint="default" w:eastAsiaTheme="minorEastAsia"/>
          <w:lang w:val="en-US" w:eastAsia="zh-CN"/>
        </w:rPr>
      </w:pPr>
      <w:r>
        <w:rPr>
          <w:rFonts w:hint="eastAsia"/>
          <w:lang w:val="en-US" w:eastAsia="zh-CN"/>
        </w:rPr>
        <w:t>具体在实物图中什么位置？</w:t>
      </w:r>
    </w:p>
  </w:comment>
  <w:comment w:id="1" w:author="miaomiaobaige" w:date="2021-06-21T14:21:23Z" w:initials="m">
    <w:p w14:paraId="26714ECF">
      <w:pPr>
        <w:pStyle w:val="2"/>
        <w:rPr>
          <w:rFonts w:hint="default" w:eastAsiaTheme="minorEastAsia"/>
          <w:lang w:val="en-US" w:eastAsia="zh-CN"/>
        </w:rPr>
      </w:pPr>
      <w:r>
        <w:rPr>
          <w:rFonts w:hint="eastAsia"/>
          <w:lang w:val="en-US" w:eastAsia="zh-CN"/>
        </w:rPr>
        <w:t>这个过程不太清楚，O型圈2是什么时候装的？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105271" w15:done="0"/>
  <w15:commentEx w15:paraId="26714E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aomiaobaige">
    <w15:presenceInfo w15:providerId="None" w15:userId="miaomiaobai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17B"/>
    <w:rsid w:val="00041A45"/>
    <w:rsid w:val="000503FC"/>
    <w:rsid w:val="00052C18"/>
    <w:rsid w:val="0005407A"/>
    <w:rsid w:val="00073A23"/>
    <w:rsid w:val="000A19D8"/>
    <w:rsid w:val="000D2D31"/>
    <w:rsid w:val="000E7B5C"/>
    <w:rsid w:val="0013625D"/>
    <w:rsid w:val="0014242C"/>
    <w:rsid w:val="00176999"/>
    <w:rsid w:val="00197EF1"/>
    <w:rsid w:val="001C1F4B"/>
    <w:rsid w:val="001C4059"/>
    <w:rsid w:val="001D0CC4"/>
    <w:rsid w:val="00240824"/>
    <w:rsid w:val="0026128C"/>
    <w:rsid w:val="0026527F"/>
    <w:rsid w:val="002773C3"/>
    <w:rsid w:val="00292EED"/>
    <w:rsid w:val="00295301"/>
    <w:rsid w:val="002964B4"/>
    <w:rsid w:val="002971D2"/>
    <w:rsid w:val="002B7382"/>
    <w:rsid w:val="002B75A3"/>
    <w:rsid w:val="002C2AC4"/>
    <w:rsid w:val="002E6ECF"/>
    <w:rsid w:val="003105C9"/>
    <w:rsid w:val="003269AB"/>
    <w:rsid w:val="00332D62"/>
    <w:rsid w:val="00343886"/>
    <w:rsid w:val="003C1D80"/>
    <w:rsid w:val="003E30FD"/>
    <w:rsid w:val="00437E4F"/>
    <w:rsid w:val="00454304"/>
    <w:rsid w:val="00482B86"/>
    <w:rsid w:val="00482C5A"/>
    <w:rsid w:val="0048528C"/>
    <w:rsid w:val="004902F1"/>
    <w:rsid w:val="004B0824"/>
    <w:rsid w:val="004B761C"/>
    <w:rsid w:val="004D3382"/>
    <w:rsid w:val="004E083A"/>
    <w:rsid w:val="004E2FF7"/>
    <w:rsid w:val="00564E04"/>
    <w:rsid w:val="00581CA9"/>
    <w:rsid w:val="00582E81"/>
    <w:rsid w:val="005B43BE"/>
    <w:rsid w:val="005B5B49"/>
    <w:rsid w:val="005C1077"/>
    <w:rsid w:val="005C637E"/>
    <w:rsid w:val="005D518C"/>
    <w:rsid w:val="005D6D37"/>
    <w:rsid w:val="005E6E78"/>
    <w:rsid w:val="00615968"/>
    <w:rsid w:val="00625AC0"/>
    <w:rsid w:val="00643614"/>
    <w:rsid w:val="006569A2"/>
    <w:rsid w:val="00663AAE"/>
    <w:rsid w:val="00695BC1"/>
    <w:rsid w:val="006A1293"/>
    <w:rsid w:val="006B0587"/>
    <w:rsid w:val="006C0FFE"/>
    <w:rsid w:val="006C3B11"/>
    <w:rsid w:val="006C49C4"/>
    <w:rsid w:val="006E6469"/>
    <w:rsid w:val="006F6784"/>
    <w:rsid w:val="00702227"/>
    <w:rsid w:val="00725EF4"/>
    <w:rsid w:val="00736D87"/>
    <w:rsid w:val="00773FDD"/>
    <w:rsid w:val="007846DA"/>
    <w:rsid w:val="007A03E5"/>
    <w:rsid w:val="007B4A0C"/>
    <w:rsid w:val="007B567E"/>
    <w:rsid w:val="007F3999"/>
    <w:rsid w:val="00820EA1"/>
    <w:rsid w:val="00823361"/>
    <w:rsid w:val="00870DBA"/>
    <w:rsid w:val="00873212"/>
    <w:rsid w:val="0087547D"/>
    <w:rsid w:val="0087561F"/>
    <w:rsid w:val="008B7812"/>
    <w:rsid w:val="008C3787"/>
    <w:rsid w:val="008F7218"/>
    <w:rsid w:val="00902F7B"/>
    <w:rsid w:val="00920818"/>
    <w:rsid w:val="0092217B"/>
    <w:rsid w:val="009228FA"/>
    <w:rsid w:val="0092650B"/>
    <w:rsid w:val="00997E60"/>
    <w:rsid w:val="009B01DE"/>
    <w:rsid w:val="009D6D5C"/>
    <w:rsid w:val="00A11AB7"/>
    <w:rsid w:val="00A31C3F"/>
    <w:rsid w:val="00A63A27"/>
    <w:rsid w:val="00A71ED9"/>
    <w:rsid w:val="00A963D9"/>
    <w:rsid w:val="00AA448C"/>
    <w:rsid w:val="00AB2D8D"/>
    <w:rsid w:val="00AC5983"/>
    <w:rsid w:val="00AD230C"/>
    <w:rsid w:val="00B40B89"/>
    <w:rsid w:val="00B667EB"/>
    <w:rsid w:val="00B970EC"/>
    <w:rsid w:val="00BE5D6E"/>
    <w:rsid w:val="00BE6205"/>
    <w:rsid w:val="00BF10C3"/>
    <w:rsid w:val="00C258F1"/>
    <w:rsid w:val="00C74691"/>
    <w:rsid w:val="00C87658"/>
    <w:rsid w:val="00CE4F45"/>
    <w:rsid w:val="00D041B3"/>
    <w:rsid w:val="00DA3C1D"/>
    <w:rsid w:val="00DA4FE0"/>
    <w:rsid w:val="00DC5288"/>
    <w:rsid w:val="00DD25A2"/>
    <w:rsid w:val="00DD7789"/>
    <w:rsid w:val="00DE3586"/>
    <w:rsid w:val="00E044EB"/>
    <w:rsid w:val="00E6136C"/>
    <w:rsid w:val="00E74655"/>
    <w:rsid w:val="00E838B4"/>
    <w:rsid w:val="00EC2D08"/>
    <w:rsid w:val="00ED6EF1"/>
    <w:rsid w:val="00EF77FC"/>
    <w:rsid w:val="00F23844"/>
    <w:rsid w:val="00F238E1"/>
    <w:rsid w:val="00F246B2"/>
    <w:rsid w:val="00F41A00"/>
    <w:rsid w:val="00F47512"/>
    <w:rsid w:val="00F9204E"/>
    <w:rsid w:val="00FA2776"/>
    <w:rsid w:val="00FB790A"/>
    <w:rsid w:val="00FC3B27"/>
    <w:rsid w:val="00FE65FA"/>
    <w:rsid w:val="00FF0FB8"/>
    <w:rsid w:val="0A523E3A"/>
    <w:rsid w:val="3E7C4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Balloon Text"/>
    <w:basedOn w:val="1"/>
    <w:link w:val="10"/>
    <w:semiHidden/>
    <w:unhideWhenUsed/>
    <w:qFormat/>
    <w:uiPriority w:val="99"/>
    <w:rPr>
      <w:sz w:val="18"/>
      <w:szCs w:val="18"/>
    </w:rPr>
  </w:style>
  <w:style w:type="paragraph" w:styleId="4">
    <w:name w:val="footer"/>
    <w:basedOn w:val="1"/>
    <w:link w:val="9"/>
    <w:unhideWhenUsed/>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2">
          <a:schemeClr val="dk1"/>
        </a:lnRef>
        <a:fillRef idx="1">
          <a:schemeClr val="lt1"/>
        </a:fillRef>
        <a:effectRef idx="0">
          <a:schemeClr val="dk1"/>
        </a:effectRef>
        <a:fontRef idx="minor">
          <a:schemeClr val="dk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270</Words>
  <Characters>1545</Characters>
  <Lines>12</Lines>
  <Paragraphs>3</Paragraphs>
  <TotalTime>1288</TotalTime>
  <ScaleCrop>false</ScaleCrop>
  <LinksUpToDate>false</LinksUpToDate>
  <CharactersWithSpaces>1812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2020-12-24T00:38:00Z</dcterms:created>
  <dc:creator>梁龙云</dc:creator>
  <cp:lastModifiedBy>miaomiaobaige</cp:lastModifiedBy>
  <dcterms:modified xsi:type="dcterms:W3CDTF">2021-07-06T09:14:19Z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