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3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О ДОКУМЕНТЕ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Как пользоваться спецификацией</w:t>
      </w:r>
    </w:p>
    <w:p>
      <w:pPr>
        <w:spacing w:before="0" w:after="200" w:line="276" w:lineRule="auto"/>
      </w:pPr>
      <w:r>
        <w:rPr>
          <w:rFonts w:ascii="Inter" w:hAnsi="Inter" w:eastAsia="Inter"/>
          <w:b w:val="0"/>
          <w:i w:val="0"/>
          <w:color w:val="5F6B89"/>
          <w:sz w:val="22"/>
        </w:rPr>
        <w:t>Документ задаёт новую структуру лендинга Hulee, готовые тексты, принципы компоновки, требования к визуалам и промпты для генерации макетов. Его можно передать дизайнеру, копирайтеру и разработчику как единое техническое задание.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Главная стратегия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Hulee показывает реальный продукт, рабочие сценарии и понятную модель оплаты. Декоративные изображения используются редко. Сгенерированные персонажи и фотореалистичные люди не используются.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Исходная точка</w:t>
      </w:r>
    </w:p>
    <w:p>
      <w:pPr>
        <w:spacing w:before="0" w:after="12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Аудит выполнен по текущей русской версии сайта https://hulee.ru/ru. В текущей структуре отдельно существуют блоки о боли рынка, модели оплаты, едином окне, продукте, целевых сегментах, сравнении, калькуляторе, контроле данных, тарифах и вопросах. Новая структура объединяет повторяющиеся смыслы и создаёт более спокойный ритм.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Что должно измениться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Реальный интерфейс Hulee становится главным визуальным доказательством.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У каждой секции только один доминирующий визуал.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Объёмные иллюстрации не повторяются в каждом блоке.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Позиционирование «без отдельной платы за канал и сотрудника» раскрывается последовательно, а не повторяется дословно.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Публичные тексты написаны простым русским языком без внутренних технических терминов.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Сгенерированные люди и персонажи не используются; в кейсах допустимы только реальные фотографии с согласия героев.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СТРУКТУРА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Рекомендуемая логика страницы</w:t>
      </w:r>
    </w:p>
    <w:p>
      <w:pPr>
        <w:spacing w:before="0" w:after="1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365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653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Целевая длина страницы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12–14 смысловых блоков вместе с шапкой и подвалом. Между крупными секциями — 140–180 пикселей свободного пространства на настольной версии.</w:t>
            </w:r>
          </w:p>
        </w:tc>
      </w:tr>
    </w:tbl>
    <w:p>
      <w:pPr>
        <w:pStyle w:val="Heading2"/>
        <w:pageBreakBefore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Итоговый порядок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1162B"/>
          </w:tcPr>
          <w:p>
            <w:r>
              <w:rPr>
                <w:rFonts w:ascii="Inter" w:hAnsi="Inter" w:eastAsia="Inter"/>
                <w:b/>
                <w:color w:val="FFFFFF"/>
                <w:sz w:val="19"/>
              </w:rPr>
              <w:t>№</w:t>
            </w:r>
          </w:p>
        </w:tc>
        <w:tc>
          <w:tcPr>
            <w:tcW w:type="dxa" w:w="3326"/>
            <w:shd w:fill="11162B"/>
          </w:tcPr>
          <w:p>
            <w:r>
              <w:rPr>
                <w:rFonts w:ascii="Inter" w:hAnsi="Inter" w:eastAsia="Inter"/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3326"/>
            <w:shd w:fill="11162B"/>
          </w:tcPr>
          <w:p>
            <w:r>
              <w:rPr>
                <w:rFonts w:ascii="Inter" w:hAnsi="Inter" w:eastAsia="Inter"/>
                <w:b/>
                <w:color w:val="FFFFFF"/>
                <w:sz w:val="19"/>
              </w:rPr>
              <w:t>Задача</w:t>
            </w:r>
          </w:p>
        </w:tc>
      </w:tr>
      <w:tr>
        <w:tc>
          <w:tcPr>
            <w:tcW w:type="dxa" w:w="68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01</w:t>
            </w:r>
          </w:p>
        </w:tc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Шапка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Навигация и быстрый вход в действие.</w:t>
            </w:r>
          </w:p>
        </w:tc>
      </w:tr>
      <w:tr>
        <w:tc>
          <w:tcPr>
            <w:tcW w:type="dxa" w:w="68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02</w:t>
            </w:r>
          </w:p>
        </w:tc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Первый экран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Главное обещание, продукт и модель цены.</w:t>
            </w:r>
          </w:p>
        </w:tc>
      </w:tr>
      <w:tr>
        <w:tc>
          <w:tcPr>
            <w:tcW w:type="dxa" w:w="68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03</w:t>
            </w:r>
          </w:p>
        </w:tc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Доверие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Проверяемые факты, клиенты или продуктовые гарантии.</w:t>
            </w:r>
          </w:p>
        </w:tc>
      </w:tr>
      <w:tr>
        <w:tc>
          <w:tcPr>
            <w:tcW w:type="dxa" w:w="68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04</w:t>
            </w:r>
          </w:p>
        </w:tc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Продукт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Как обращение проходит полный рабочий путь.</w:t>
            </w:r>
          </w:p>
        </w:tc>
      </w:tr>
      <w:tr>
        <w:tc>
          <w:tcPr>
            <w:tcW w:type="dxa" w:w="68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05</w:t>
            </w:r>
          </w:p>
        </w:tc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Каналы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Ширина источников без перегруженной галереи.</w:t>
            </w:r>
          </w:p>
        </w:tc>
      </w:tr>
      <w:tr>
        <w:tc>
          <w:tcPr>
            <w:tcW w:type="dxa" w:w="68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06</w:t>
            </w:r>
          </w:p>
        </w:tc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Как считается цена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Отличие модели Hulee от привычного рынка.</w:t>
            </w:r>
          </w:p>
        </w:tc>
      </w:tr>
      <w:tr>
        <w:tc>
          <w:tcPr>
            <w:tcW w:type="dxa" w:w="68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07</w:t>
            </w:r>
          </w:p>
        </w:tc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Для кого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Сценарии для разных команд и отраслей.</w:t>
            </w:r>
          </w:p>
        </w:tc>
      </w:tr>
      <w:tr>
        <w:tc>
          <w:tcPr>
            <w:tcW w:type="dxa" w:w="68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08</w:t>
            </w:r>
          </w:p>
        </w:tc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Калькулятор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Прогноз нагрузки и понятное объяснение стоимости.</w:t>
            </w:r>
          </w:p>
        </w:tc>
      </w:tr>
      <w:tr>
        <w:tc>
          <w:tcPr>
            <w:tcW w:type="dxa" w:w="68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09</w:t>
            </w:r>
          </w:p>
        </w:tc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Контроль данных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Хранение, права, выгрузка и варианты размещения.</w:t>
            </w:r>
          </w:p>
        </w:tc>
      </w:tr>
      <w:tr>
        <w:tc>
          <w:tcPr>
            <w:tcW w:type="dxa" w:w="68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10</w:t>
            </w:r>
          </w:p>
        </w:tc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Кейсы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Реальные результаты и доказательства.</w:t>
            </w:r>
          </w:p>
        </w:tc>
      </w:tr>
      <w:tr>
        <w:tc>
          <w:tcPr>
            <w:tcW w:type="dxa" w:w="68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11</w:t>
            </w:r>
          </w:p>
        </w:tc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Тарифы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Разница в ресурсах и уровне контроля.</w:t>
            </w:r>
          </w:p>
        </w:tc>
      </w:tr>
      <w:tr>
        <w:tc>
          <w:tcPr>
            <w:tcW w:type="dxa" w:w="68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12</w:t>
            </w:r>
          </w:p>
        </w:tc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Вопросы и ответы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Снятие основных возражений.</w:t>
            </w:r>
          </w:p>
        </w:tc>
      </w:tr>
      <w:tr>
        <w:tc>
          <w:tcPr>
            <w:tcW w:type="dxa" w:w="68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13</w:t>
            </w:r>
          </w:p>
        </w:tc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Финальный призыв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Регистрация, расчёт или обсуждение частного размещения.</w:t>
            </w:r>
          </w:p>
        </w:tc>
      </w:tr>
      <w:tr>
        <w:tc>
          <w:tcPr>
            <w:tcW w:type="dxa" w:w="68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11162B"/>
                <w:sz w:val="18"/>
              </w:rPr>
              <w:t>14</w:t>
            </w:r>
          </w:p>
        </w:tc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8"/>
              </w:rPr>
              <w:t>Подвал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 w:val="0"/>
                <w:color w:val="5F6B89"/>
                <w:sz w:val="18"/>
              </w:rPr>
              <w:t>Юридическая информация, документы и связи.</w:t>
            </w:r>
          </w:p>
        </w:tc>
      </w:tr>
    </w:tbl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ПЕРЕХОД ОТ ТЕКУЩЕЙ ВЕРСИИ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Какие блоки объединить или изменить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58"/>
            <w:shd w:fill="11162B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FFFFFF"/>
                <w:sz w:val="19"/>
              </w:rPr>
              <w:t>Сейчас</w:t>
            </w:r>
          </w:p>
        </w:tc>
        <w:tc>
          <w:tcPr>
            <w:tcW w:type="dxa" w:w="5159"/>
            <w:shd w:fill="11162B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FFFFFF"/>
                <w:sz w:val="19"/>
              </w:rPr>
              <w:t>Рекомендуемое действие</w:t>
            </w:r>
          </w:p>
        </w:tc>
      </w:tr>
      <w:tr>
        <w:tc>
          <w:tcPr>
            <w:tcW w:type="dxa" w:w="345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«Боль рынка» + «Наша модель» + часть «Сравнения»</w:t>
            </w:r>
          </w:p>
        </w:tc>
        <w:tc>
          <w:tcPr>
            <w:tcW w:type="dxa" w:w="515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Объединить в один блок «Как считается цена». Сначала показать контраст, затем три ключевых показателя.</w:t>
            </w:r>
          </w:p>
        </w:tc>
      </w:tr>
      <w:tr>
        <w:tc>
          <w:tcPr>
            <w:tcW w:type="dxa" w:w="345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«Единое окно» + «Продукт»</w:t>
            </w:r>
          </w:p>
        </w:tc>
        <w:tc>
          <w:tcPr>
            <w:tcW w:type="dxa" w:w="515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Объединить в главную продуктовую демонстрацию: один настоящий экран и четыре шага работы с обращением.</w:t>
            </w:r>
          </w:p>
        </w:tc>
      </w:tr>
      <w:tr>
        <w:tc>
          <w:tcPr>
            <w:tcW w:type="dxa" w:w="345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Пять иллюстрированных карточек «Для кого»</w:t>
            </w:r>
          </w:p>
        </w:tc>
        <w:tc>
          <w:tcPr>
            <w:tcW w:type="dxa" w:w="515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Заменить вкладками. В каждый момент виден один сценарий и один экран продукта.</w:t>
            </w:r>
          </w:p>
        </w:tc>
      </w:tr>
      <w:tr>
        <w:tc>
          <w:tcPr>
            <w:tcW w:type="dxa" w:w="345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Повторяющиеся «0 ₽ / 0 ₽ / GB»</w:t>
            </w:r>
          </w:p>
        </w:tc>
        <w:tc>
          <w:tcPr>
            <w:tcW w:type="dxa" w:w="515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Оставить в первом экране, сравнении и калькуляторе. В остальных местах не повторять дословно.</w:t>
            </w:r>
          </w:p>
        </w:tc>
      </w:tr>
      <w:tr>
        <w:tc>
          <w:tcPr>
            <w:tcW w:type="dxa" w:w="345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Трёхмерные изображения в каждом блоке</w:t>
            </w:r>
          </w:p>
        </w:tc>
        <w:tc>
          <w:tcPr>
            <w:tcW w:type="dxa" w:w="515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Оставить максимум в первом экране и контроле данных. Остальные секции строить на продукте, типографике и простых пиктограммах.</w:t>
            </w:r>
          </w:p>
        </w:tc>
      </w:tr>
      <w:tr>
        <w:tc>
          <w:tcPr>
            <w:tcW w:type="dxa" w:w="345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Технические слова</w:t>
            </w:r>
          </w:p>
        </w:tc>
        <w:tc>
          <w:tcPr>
            <w:tcW w:type="dxa" w:w="515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Заменить понятными русскими формулировками: срок хранения, отдельная среда, серверы компании, внешние расходы поставщиков.</w:t>
            </w:r>
          </w:p>
        </w:tc>
      </w:tr>
    </w:tbl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Общие правила визуального языка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Главный принцип</w:t>
            </w:r>
          </w:p>
        </w:tc>
        <w:tc>
          <w:tcPr>
            <w:tcW w:type="dxa" w:w="635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Один доминирующий визуал на секцию. Если есть крупный экран продукта, рядом не нужны декоративные иллюстрации.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Типографика</w:t>
            </w:r>
          </w:p>
        </w:tc>
        <w:tc>
          <w:tcPr>
            <w:tcW w:type="dxa" w:w="635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Крупные заголовки, короткие абзацы, ограниченная ширина строки. Текст не должен конкурировать с визуалом.</w:t>
            </w:r>
          </w:p>
        </w:tc>
      </w:tr>
      <w:tr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Иконки</w:t>
            </w:r>
          </w:p>
        </w:tc>
        <w:tc>
          <w:tcPr>
            <w:tcW w:type="dxa" w:w="635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Один набор контурных пиктограмм: одинаковая толщина линий, контейнер и цветовая логика.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Карточки</w:t>
            </w:r>
          </w:p>
        </w:tc>
        <w:tc>
          <w:tcPr>
            <w:tcW w:type="dxa" w:w="635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Используются для сравнения, выбора, интерактивных элементов и тарифов. Обычные преимущества могут жить без карточек.</w:t>
            </w:r>
          </w:p>
        </w:tc>
      </w:tr>
      <w:tr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Цвет</w:t>
            </w:r>
          </w:p>
        </w:tc>
        <w:tc>
          <w:tcPr>
            <w:tcW w:type="dxa" w:w="635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Фиолетовый и синий — бренд и действия; зелёный — успех, экономия и подтверждение; красный — только ошибка.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Изображения</w:t>
            </w:r>
          </w:p>
        </w:tc>
        <w:tc>
          <w:tcPr>
            <w:tcW w:type="dxa" w:w="6350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Приоритет: реальные экраны продукта → диаграммы → реальные кейсы → пиктограммы → редкие декоративные иллюстрации.</w:t>
            </w:r>
          </w:p>
        </w:tc>
      </w:tr>
      <w:tr>
        <w:tc>
          <w:tcPr>
            <w:tcW w:type="dxa" w:w="226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Люди</w:t>
            </w:r>
          </w:p>
        </w:tc>
        <w:tc>
          <w:tcPr>
            <w:tcW w:type="dxa" w:w="6350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Сгенерированные люди и персонажи исключены. В кейсах — только реальные фотографии при наличии разрешения.</w:t>
            </w:r>
          </w:p>
        </w:tc>
      </w:tr>
    </w:tbl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01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Шапка и навигация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Сделать путь по странице понятным и привести пользователя к регистрации или расчёту без визуального шума.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—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—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—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Кнопки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Войти • Попробовать бесплатно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Пункты меню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Продукт • Каналы • Для кого • Цена • Данные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Дополнительно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RU / EN / KZ • переключатель темы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Логотип слева. Пять якорных ссылок по центру. Справа языки, переключатель темы, кнопка входа и одна акцентная кнопка. Высота 72–80 пикселей. Шапка закрепляется после первого экрана.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Логотип, кнопка «Попробовать», значок меню. Языки и тема находятся внутри раскрывающейся панели.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Белая или слегка тонированная поверхность, тонкая граница, без тяжёлой тени. В тёмной теме — фон #11162B и поверхность #171D35.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Поведение и взаимодействие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При прокрутке активный пункт меню подсвечивается.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Кнопка «Попробовать бесплатно» ведёт к регистрации.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«Цена» прокручивает к сравнению и калькулятору.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Два одинаково ярких призыва к действию.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Крупные декоративные элементы в шапке.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Слишком длинные названия пунктов меню.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P01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02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Первый экран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За 5–7 секунд объяснить, что делает Hulee, для кого он нужен и почему модель оплаты отличается.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ПЛАТФОРМА КОММУНИКАЦИЙ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Все обращения и вся команда — в одном рабочем пространстве.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Hulee объединяет мессенджеры, соцсети, сайт, почту, маркетплейсы и внутренние заявки. Подключайте каналы и сотрудников без отдельной платы; оплачивайте объём данных и дополнительные сервисы.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Кнопки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Попробовать бесплатно • Посмотреть продукт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Показатели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0 ₽ за канал в Hulee • 0 ₽ за сотрудника • Оплата за объём хранения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Сноска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Внешние расходы поставщиков, например за сообщения WhatsApp Business, SMS и расшифровку аудио, показываются отдельно.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Две колонки 44/56. Слева текст и две кнопки. Справа один крупный настоящий экран Hulee, без дополнительных карточек поверх. Под колонками — спокойная строка из трёх показателей.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Сначала текст и кнопки, затем экран продукта во всю ширину, ниже показатели в одну колонку или горизонтальную прокрутку.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Настоящий интерфейс Hulee в светлой теме. Допустимо лёгкое перспективное наклонение, но без орбиты из иконок и без россыпи декоративных объектов.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Поведение и взаимодействие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Кнопка «Посмотреть продукт» прокручивает к продуктовой секции.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На экране продукта допустима короткая зацикленная анимация переключения обращения.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Карусель из логотипов мессенджеров под экраном.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Три большие объёмные иконки в показателях.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Несколько одновременно светящихся карточек вокруг интерфейса.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P02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03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Доверие и подтверждение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Снять раннее сомнение: продукт существует, модель понятна, данные контролируются. Не выдумывать клиентов и цифры.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Два режима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До появления публичных кейсов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Показать только проверяемые продуктовые факты: облако или серверы компании, журнал действий, выгрузка данных, программный интерфейс и вебхуки.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После появления кейсов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Заменить часть фактов логотипами клиентов, короткой цитатой и 2–3 подтверждёнными показателями. Любая цифра должна иметь источник.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ПРОВЕРЯЕМЫЕ ВОЗМОЖНОСТИ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Продукт готов к реальной работе компании.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Hulee можно использовать в облаке, в отдельной среде или на серверах компании. История и действия сотрудников остаются под контролем.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Короткие факты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Облако или свои серверы • Выгрузка истории • Журнал действий • Программный интерфейс и вебхуки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Узкая полоса на 3–4 факта сразу после первого экрана. Если есть логотипы клиентов — разместить их слева, показатели справа.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Вертикальный список фактов или горизонтальная прокрутка логотипов.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Типографика и простые контурные пиктограммы. Без крупной иллюстрации.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Вымышленные логотипы клиентов.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Непроверенные показатели.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Ещё одна галерея объёмных иллюстраций.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P03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04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Продукт: полный путь обращения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Показать не список функций, а ежедневную работу команды от нового сообщения до результата.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ПРОДУКТ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Одно обращение. Весь путь работы.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Hulee собирает входящие из разных источников и превращает их в понятный рабочий процесс: с клиентом, историей, файлами, ответственным, сроком ответа и правилами доступа.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Шаг 1 — Принять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Сообщения и заявки попадают в единое окно и распределяются по очередям.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Шаг 2 — Понять клиента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 карточке видны контакты, история, файлы, заказы и предыдущие обращения.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Шаг 3 — Передать в работу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Назначайте ответственного, подключайте коллег и оставляйте внутренние комментарии.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Шаг 4 — Проконтролировать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Руководитель видит статусы, сроки ответа, нагрузку, ошибки каналов и действия сотрудников.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Слева заголовок и четыре вертикальные вкладки. Справа большой актуальный экран продукта. Активная вкладка подсвечивает соответствующую область интерфейса.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Вкладки превращаются в горизонтальный переключатель. Под ним — один экран продукта; тексты меняются при выборе.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Только настоящий интерфейс Hulee. Допустимы тонкие рамки-подсветки и короткие подписи к областям экрана.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Поведение и взаимодействие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Переключение четырёх шагов без перезагрузки.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Автоматическая смена шага раз в 5–7 секунд останавливается при наведении.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Шесть одинаковых карточек с общими названиями функций.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Смешивание настоящего интерфейса и объёмной декоративной иллюстрации.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P04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05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Каналы и источники обращений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Показать ширину подключений, не превращая секцию в каталог из десятков равнозначных иконок.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КАНАЛЫ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Клиент пишет где удобно. Команда отвечает из одного места.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Подключайте мессенджеры, соцсети, сайт, почту, торговые площадки, доски объявлений, телефонию и внутренние заявки. Все обращения сохраняют общий контекст в Hulee.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Категории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Мессенджеры • Соцсети • Торговые площадки • Доски объявлений • Сайт и почта • Телефония • Внутренние заявки • Программный интерфейс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Примечание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Показывать только реально доступные подключения. Остальные источники помечать «по запросу» или «в работе».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Слева заголовок и категории. Справа компактная сетка логотипов или простая схема «источники → единое окно». Ниже — одна строка «Канал — точка входа. История и работа остаются в Hulee».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Категории — горизонтальная прокрутка. Логотипы — сетка 3×N. Схема упрощается до одного центрального блока.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Плоские логотипы брендов в одинаковых контейнерах. Один простой поток к единому окну. Без объёмных платформ и орбит.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Поведение и взаимодействие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Переключение категорий фильтрует источники.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У каждой интеграции может быть статус «доступно», «по запросу», «в работе».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Показывать недоступную интеграцию как готовую.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Одинаково крупные 3D-иконки всех каналов.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Повторять здесь «0 ₽ за канал» крупным заголовком.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P05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06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Как считается цена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Объяснить главное отличие Hulee от рынка одним сильным сравнением, а не несколькими повторяющимися секциями.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КАК СЧИТАЕТСЯ ЦЕНА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Каналы и сотрудники не должны раздувать счёт.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Hulee не берёт отдельную плату за сам факт подключения канала или за каждую учётную запись сотрудника. Стоимость зависит от объёма хранимых данных, срока хранения и дополнительных сервисов.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Каналы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Обычно: каждый источник может стоить отдельно. Hulee: подключение канала не является отдельной абонентской платой.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Сотрудники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Обычно: рост команды увеличивает подписку. Hulee: команда может расти без платы за каждую учётную запись.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Диалоги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Обычно: тариф ограничивает число диалогов. Hulee: история хранится как данные компании.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Прозрачность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Обычно: счёт сложно прогнозировать. Hulee: стоимость объясняется объёмом, сроком хранения и дополнительными услугами.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Итоговые показатели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0 ₽ за канал в Hulee • 0 ₽ за сотрудника • Оплата за объём хранения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Крупный заголовок сверху. Ниже — таблица из четырёх строк: слева «Обычно на рынке», справа выделенная колонка Hulee. Внизу три крупные типографические цифры.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Каждая строка превращается в пару карточек «Обычно / Hulee». Показатели закрепляются внизу блока.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Сама таблица — главный визуал. В колонке Hulee тонкая фиолетовая рамка и зелёные подтверждения. Иллюстрации не нужны.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Отдельный блок «Боль рынка» перед этим сравнением.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Повторять те же тезисы ещё раз сразу после таблицы.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Сложные технические слова в публичном тексте.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P06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07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Для кого и рабочие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Показать применимость продукта без пяти одинаково тяжёлых иллюстрированных карточек.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ДЛЯ КОГО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Один продукт для разных рабочих процессов.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Выберите сценарий и посмотрите, как Hulee помогает конкретной команде работать с обращениями.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Продажи и обработка заявок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Лиды из сайта, мессенджеров, объявлений и форм попадают в единое окно; ответственный видит контекст и не теряет заявку.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Поддержка и сервис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Очереди, статусы, сроки ответа, передача между отделами и история клиента находятся в одном месте.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Интернет-магазины и площадки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Вопросы, отзывы, заказы и сообщения из разных источников связываются с клиентом и ответственным.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Филиалы и сети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Локальные аккаунты и смены работают по единым правилам доступа, маршрутизации и хранения.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Компании с особыми требованиями к данным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Доступны отдельная среда, серверы компании, журнал действий и управляемый срок хранения.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Сверху горизонтальные вкладки пяти сценариев. Ниже две колонки: слева три результата выбранного сценария, справа один соответствующий экран продукта.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Вкладки — горизонтальная прокрутка. Текст и экран идут вертикально.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Настоящие экраны продукта, разные состояния одного интерфейса. Можно использовать простые схемы, если функциональность ещё не реализована.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Поведение и взаимодействие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При выборе вкладки меняются текст и экран.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Ссылка «Посмотреть сценарий» может открывать отдельную страницу отрасли.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Пять крупных декоративных картинок сразу.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Одинаковый общий текст для всех сегментов.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Сгенерированные сотрудники или клиенты.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P07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08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Калькулятор прогноза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Превратить модель оплаты в интерактивное доказательство и снять страх скрытой стоимости.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КАЛЬКУЛЯТОР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Посчитайте стоимость до подключения.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Укажите каналы, команду, объём обращений и срок хранения истории. Hulee покажет прогноз нагрузки и разделит стоимость на понятные части: хранение данных, дополнительные сервисы и внешние расходы поставщиков.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Кнопки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Посчитать прогноз • Получить расчёт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1. Каналы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Выбор источников. Подпись: «0 ₽ за канал в Hulee».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2. Команда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Ползунок количества сотрудников. Подпись: «0 ₽ за сотрудника».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3. Нагрузка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Обращения в месяц, файлы и вложения, аудио и звонки.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4. Хранение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3, 6, 12, 24 месяца или свой срок.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Дополнительные услуги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Искусственный интеллект, расшифровка аудио, WhatsApp Business, SMS.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Результат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Каналы — 0 ₽; сотрудники — 0 ₽; прогноз хранения; срок хранения; дополнительные услуги.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Две колонки 58/42. Слева форма из четырёх шагов. Справа закреплённая карточка прогноза. Внизу короткая строка из трёх принципов модели.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Форма идёт первой, результат — сразу после кнопки. Строка принципов превращается в три компактных блока.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Сам интерфейс калькулятора — единственный визуал. Диаграмма объёма допускается только в карточке результата.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Поведение и взаимодействие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Изменение полей мгновенно обновляет прогноз.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Результат объясняет не только число, но и факторы расчёта.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Пользователь может отправить расчёт на почту или запросить консультацию.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Считать каналы или сотрудников как стоимость Hulee.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Показывать ложную точность, если тарифные коэффициенты ещё не утверждены.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Смешивать плату Hulee и внешние расходы поставщиков.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P08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09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Контроль данных и размещение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Ответить на вопрос: кому принадлежат данные, кто имеет доступ, как долго они хранятся и где работает система.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КОНТРОЛЬ ДАННЫХ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Ваши данные. Ваши правила.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Переписки, файлы, вложения и история работы принадлежат вашей компании. Вы решаете, кто имеет к ним доступ, сколько времени их хранить и где будет работать Hulee.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Данные компании хранятся отдельно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Переписки, файлы, очереди и настройки вашей компании не смешиваются с данными других клиентов.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Вы управляете сроком хранения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Определяйте, какие данные и как долго сохранять; архивируйте или удаляйте историю по правилам компании.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Данные можно выгрузить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Скачивайте переписки, вложения и журнал действий для архива, проверки или переноса.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Место размещения выбираете вы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Используйте Hulee в нашем облаке, в отдельной среде или на серверах вашей компании.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Нижний акцент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Каждое действие остаётся в журнале: просмотры, ответы, изменения прав и выгрузки.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Вверху две колонки: текст слева, одна спокойная схема защиты данных справа. Ниже четыре карточки обещаний. Внизу широкая полоса журнала действий.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Сначала текст и схема, затем карточки по одной, в конце журнал действий.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Одна фирменная схема: щит с замком и четыре простые пиктограммы вокруг. Карточки используют контурные иконки, а не отдельные иллюстрации.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Слова «storage-based», «tenant boundary», «retention», «on-prem» в пользовательском тексте.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Несколько больших иллюстраций безопасности в одной секции.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Обещания сертификаций, которых ещё нет.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P09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10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Кейсы и реальные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Добавить доверие через настоящие внедрения. Не придумывать имена, фотографии и показатели.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Когда блок можно публиковать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Минимальное условие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Есть хотя бы два клиента, которые разрешили использовать логотип, результат и короткую цитату. До этого блок лучше не показывать, чем заполнять вымышленными данными.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РЕЗУЛЬТАТЫ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Что меняется после объединения каналов.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Короткие истории о том, как команды собрали обращения в одном месте, ускорили ответы и получили контроль над историей.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Структура кейса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Логотип и отрасль → исходная проблема → что подключили → измеримый результат → цитата реального сотрудника.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Допустимые показатели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Время первого ответа, доля потерянных обращений, число источников, скорость передачи между отделами, объём сохранённой истории.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Если кейсов ещё нет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Временно убрать секцию. Не заменять её вымышленными отзывами.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Один крупный кейс слева и два компактных справа либо горизонтальная карусель из трёх реальных кейсов. В каждом кейсе один основной показатель.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Карточки по одной. Цитата и показатель должны помещаться без раскрытия.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Реальный логотип клиента, реальный скриншот или схема внедрения. Реальная фотография допустима только с разрешения. Сгенерированные люди запрещены.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Поведение и взаимодействие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8"/>
        </w:rPr>
        <w:t>Ссылка «Читать кейс» открывает подробную страницу.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Вымышленные отзывы.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Стоковые или сгенерированные лица.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Непроверенные проценты и экономия.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P10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11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Тарифы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Объяснить, чем отличаются планы, не разрушая главный тезис об отсутствии отдельной платы за канал и сотрудника.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ТАРИФЫ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Планы отличаются ресурсами и уровнем контроля, а не доступом к каналам.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Во всех планах каналы и сотрудники не тарифицируются отдельно Hulee. Разница — в объёме хранения, сроке истории, нагрузке, аналитике, доступе к программному интерфейсу, поддержке и варианте размещения.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Кнопки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Получить расчёт • Обсудить размещение на своих серверах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Старт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Для небольшой команды: единое окно, основные возможности, стандартный объём хранения.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Команда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Для отделов продаж и поддержки: очереди, роли, больше истории, диагностика каналов.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Бизнес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Для нескольких команд и филиалов: журнал действий, политики, повышенная нагрузка, приоритетная поддержка.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Корпоративный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Для отдельной среды или серверов компании: единый вход, оформление под бренд, собственные модули и сопровождение.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Четыре тарифные карточки. Рекомендуемый план выделен только рамкой и меткой, без сильного свечения. Над карточками — общий принцип, под ними — сноска о внешних расходах.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Карточки по одной или горизонтальная прокрутка. Сравнение функций открывается отдельной таблицей.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Чистая типографика, цифры и списки. Иллюстрации не нужны.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Английские названия планов без необходимости.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Необъяснимые ограничения по каналам и сотрудникам.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Скрывать внешние расходы поставщиков.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P11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12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Вопросы и ответы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Закрыть основные сомнения простыми формулировками и не заставлять пользователя искать условия в мелком тексте.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ВОПРОСЫ И ОТВЕТЫ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Что важно знать до подключения.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Короткие ответы на вопросы о каналах, сотрудниках, хранении, внешних расходах и размещении системы.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Почему канал не оплачивается отдельно?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Hulee не берёт плату за сам факт подключения источника. Плата внешнего поставщика, если она есть, показывается отдельно.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Есть ли плата за сотрудников?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Нет отдельной платы Hulee за каждую учётную запись. Ограничения могут относиться к безопасности и уровню поддержки, но не к искусственной цене за рост команды.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Что входит в объём данных?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Сообщения, изображения, файлы, аудио, вложения, история и служебные данные, которые компания решила хранить.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Что происходит при росте объёма?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Система предупреждает заранее и предлагает изменить срок хранения или увеличить объём.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Можно ли отвечать во все источники?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Если источник поддерживает двустороннее подключение, сотрудник отвечает из Hulee. Для ограниченных источников показывается обращение и переход во внешний кабинет.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Можно ли перенести старую историю?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Да, через программный интерфейс, файлы импорта или отдельный сценарий переноса.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Где хранятся данные?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 облаке Hulee, отдельной среде или на серверах вашей компании — в зависимости от выбранного варианта.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Какие расходы считаются внешними?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Сообщения WhatsApp Business, SMS, расшифровка аудио, искусственный интеллект и другие услуги поставщиков.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Слева заголовок и короткое пояснение. Справа аккордеон из 6–8 вопросов. Самые важные четыре вопроса открыты в поисковой разметке страницы.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Одна колонка; заголовок сверху, затем аккордеон.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Только типографика, тонкие разделители и значки раскрытия.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Иллюстрация рядом с вопросами.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Технические ответы длиннее трёх абзацев.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Скрытые условия в сносках.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P12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13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Финальный призыв к действию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Закончить страницу одним ясным следующим шагом и дать альтернативу для компаний с особыми требованиями.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СЛЕДУЮЩИЙ ШАГ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Соберите все обращения в одном рабочем пространстве.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Подключите команду, выберите источники и получите понятный прогноз хранения. Начните в облаке или обсудите размещение на серверах вашей компании.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Кнопки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Попробовать бесплатно • Получить расчёт • Обсудить размещение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Одна широкая акцентная поверхность. Текст слева, кнопки ниже. Справа — небольшой фрагмент реального интерфейса либо вообще без визуала.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Текст, две основные кнопки и одна текстовая ссылка.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Сдержанный градиент бренда. Если используется интерфейс, он должен занимать не более 40% блока.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Ещё одна крупная иллюстрация из объёмных иконок.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Три одинаково яркие кнопки.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Сгенерированный персонаж, машущий пользователю.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P13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БЛОК 14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Подвал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Роль блока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Дать доступ к документам, контактам и продуктовым разделам без повторения основного маркетингового текста.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Готовый текст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Надпись над заголовком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—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—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—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Колонка 1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Продукт • Каналы • Цена • Для кого • Данные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Колонка 2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Документация • Программный интерфейс • Состояние сервисов • Поддержка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Колонка 3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Условия использования • Политика конфиденциальности • Обработка данных • Реквизиты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Контакты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Электронная почта • Telegram • адрес компании при необходимости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Нижняя строка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© Hulee • языки • переключатель темы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Расположение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Настольная версия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Логотип и короткая фраза слева, 3–4 колонки ссылок справа. Нижняя строка отделена тонкой линией.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Мобильная версия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Все колонки раскрываются списком; юридические ссылки остаются видимыми.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Визуал</w:t>
      </w:r>
    </w:p>
    <w:p>
      <w:pPr>
        <w:spacing w:before="0" w:after="100" w:line="276" w:lineRule="auto"/>
      </w:pPr>
      <w:r>
        <w:rPr>
          <w:rFonts w:ascii="Inter" w:hAnsi="Inter" w:eastAsia="Inter"/>
          <w:b w:val="0"/>
          <w:i w:val="0"/>
          <w:color w:val="5F6B89"/>
          <w:sz w:val="19"/>
        </w:rPr>
        <w:t>Очень спокойный фон и небольшая типографика. Никаких декоративных изображений.</w:t>
      </w:r>
    </w:p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Не делать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Повторять длинное позиционирование.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8A3341"/>
          <w:sz w:val="18"/>
        </w:rPr>
        <w:t>Скрывать юридические документы.</w:t>
      </w:r>
    </w:p>
    <w:p>
      <w:pPr>
        <w:pStyle w:val="Heading3"/>
        <w:spacing w:before="100" w:after="60" w:line="252" w:lineRule="auto"/>
      </w:pPr>
      <w:r/>
      <w:r>
        <w:rPr>
          <w:rFonts w:ascii="Inter" w:hAnsi="Inter" w:eastAsia="Inter"/>
          <w:b/>
          <w:color w:val="6D5DFB"/>
          <w:sz w:val="17"/>
        </w:rPr>
        <w:t>Промпт P14 — см. приложение «Промпты для генерации макетов».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СИСТЕМА ДИЗАЙНА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Единые параметры для всех секций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Сетка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Максимальная ширина 1240–1280 пикселей. 12 колонок. Внутренние поля 24–32 пикселя.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Отступы между секциями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140–180 пикселей на настольной версии; 88–112 пикселей на мобильной.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 первого уровня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56–72 пикселя на настольной версии; 38–48 пикселей на мобильной.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Заголовок секции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44–56 пикселей; длина не более трёх строк.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Основной текст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18–21 пиксель, межстрочный интервал 1,5–1,65, ширина строки 520–660 пикселей.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Радиус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Карточки 20–24 пикселя; поля и кнопки 12–16 пикселей.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Светлая тема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Фон #FDFDFF; текст #11162B; поверхность #FFFFFF; граница #DFE4F2; акцент #6D5DFB; синий #3185FF; зелёный #27C98B.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Тёмная тема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Фон #11162B; поверхность #171D35; граница #2A3354; текст #F6F7FF; вторичный текст #AEB8D5; акцент #7C6CFF; зелёный #38D39F.</w:t>
            </w:r>
          </w:p>
        </w:tc>
      </w:tr>
      <w:tr>
        <w:tc>
          <w:tcPr>
            <w:tcW w:type="dxa" w:w="2381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Тени</w:t>
            </w:r>
          </w:p>
        </w:tc>
        <w:tc>
          <w:tcPr>
            <w:tcW w:type="dxa" w:w="6236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Одна мягкая тень на интерактивных поверхностях. Не сочетать сильную тень, свечение и градиент на одном объекте.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Анимация</w:t>
            </w:r>
          </w:p>
        </w:tc>
        <w:tc>
          <w:tcPr>
            <w:tcW w:type="dxa" w:w="6236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Появление 200–350 мс, смена вкладок 250–400 мс. Не использовать постоянное движение декоративных элементов.</w:t>
            </w:r>
          </w:p>
        </w:tc>
      </w:tr>
    </w:tbl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Язык и терминология</w:t>
      </w:r>
    </w:p>
    <w:p>
      <w:pPr>
        <w:spacing w:before="0" w:after="120" w:line="276" w:lineRule="auto"/>
      </w:pPr>
      <w:r>
        <w:rPr>
          <w:rFonts w:ascii="Inter" w:hAnsi="Inter" w:eastAsia="Inter"/>
          <w:b w:val="0"/>
          <w:i w:val="0"/>
          <w:color w:val="5F6B89"/>
          <w:sz w:val="20"/>
        </w:rPr>
        <w:t>Публичный сайт должен говорить на понятном русском языке. Технический термин можно оставить только там, где он общепринят и нужен для принятия решения.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shd w:fill="11162B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FFFFFF"/>
                <w:sz w:val="19"/>
              </w:rPr>
              <w:t>Не использовать в основном тексте</w:t>
            </w:r>
          </w:p>
        </w:tc>
        <w:tc>
          <w:tcPr>
            <w:tcW w:type="dxa" w:w="5669"/>
            <w:shd w:fill="11162B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FFFFFF"/>
                <w:sz w:val="19"/>
              </w:rPr>
              <w:t>Понятная замена</w:t>
            </w:r>
          </w:p>
        </w:tc>
      </w:tr>
      <w:tr>
        <w:tc>
          <w:tcPr>
            <w:tcW w:type="dxa" w:w="294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inbox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единое окно / рабочее пространство</w:t>
            </w:r>
          </w:p>
        </w:tc>
      </w:tr>
      <w:tr>
        <w:tc>
          <w:tcPr>
            <w:tcW w:type="dxa" w:w="294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storage-based модель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модель оплаты за объём хранения</w:t>
            </w:r>
          </w:p>
        </w:tc>
      </w:tr>
      <w:tr>
        <w:tc>
          <w:tcPr>
            <w:tcW w:type="dxa" w:w="294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retention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срок хранения</w:t>
            </w:r>
          </w:p>
        </w:tc>
      </w:tr>
      <w:tr>
        <w:tc>
          <w:tcPr>
            <w:tcW w:type="dxa" w:w="294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tenant boundary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данные компании хранятся отдельно</w:t>
            </w:r>
          </w:p>
        </w:tc>
      </w:tr>
      <w:tr>
        <w:tc>
          <w:tcPr>
            <w:tcW w:type="dxa" w:w="294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on-prem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размещение на серверах компании</w:t>
            </w:r>
          </w:p>
        </w:tc>
      </w:tr>
      <w:tr>
        <w:tc>
          <w:tcPr>
            <w:tcW w:type="dxa" w:w="294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isolated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отдельная среда</w:t>
            </w:r>
          </w:p>
        </w:tc>
      </w:tr>
      <w:tr>
        <w:tc>
          <w:tcPr>
            <w:tcW w:type="dxa" w:w="294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provider-costs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внешние расходы поставщиков</w:t>
            </w:r>
          </w:p>
        </w:tc>
      </w:tr>
      <w:tr>
        <w:tc>
          <w:tcPr>
            <w:tcW w:type="dxa" w:w="294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lead-response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обработка заявок</w:t>
            </w:r>
          </w:p>
        </w:tc>
      </w:tr>
      <w:tr>
        <w:tc>
          <w:tcPr>
            <w:tcW w:type="dxa" w:w="294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enterprise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крупные компании / корпоративный вариант</w:t>
            </w:r>
          </w:p>
        </w:tc>
      </w:tr>
      <w:tr>
        <w:tc>
          <w:tcPr>
            <w:tcW w:type="dxa" w:w="2948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core</w:t>
            </w:r>
          </w:p>
        </w:tc>
        <w:tc>
          <w:tcPr>
            <w:tcW w:type="dxa" w:w="5669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единая версия продукта</w:t>
            </w:r>
          </w:p>
        </w:tc>
      </w:tr>
      <w:tr>
        <w:tc>
          <w:tcPr>
            <w:tcW w:type="dxa" w:w="2948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b/>
                <w:color w:val="11162B"/>
                <w:sz w:val="19"/>
              </w:rPr>
              <w:t>white-label</w:t>
            </w:r>
          </w:p>
        </w:tc>
        <w:tc>
          <w:tcPr>
            <w:tcW w:type="dxa" w:w="5669"/>
            <w:shd w:fill="F7F8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  <w:vAlign w:val="top"/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5F6B89"/>
                <w:sz w:val="18"/>
              </w:rPr>
              <w:t>оформление под бренд компании</w:t>
            </w:r>
          </w:p>
        </w:tc>
      </w:tr>
    </w:tbl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Правила для изображений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На странице нет сгенерированного персонажа или фотореалистичного человека.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Реальные люди появляются только в кейсах и блоке команды — при наличии согласия.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Не более одной декоративной иллюстрации на 3–4 секции.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Скриншоты интерфейса должны соответствовать актуальной версии продукта и не содержать вымышленных функций.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Логотипы интеграций показываются только при реальной доступности или с честным статусом.</w:t>
      </w:r>
    </w:p>
    <w:p>
      <w:pPr>
        <w:pStyle w:val="ListBullet"/>
        <w:spacing w:before="0" w:after="60" w:line="269" w:lineRule="auto"/>
      </w:pPr>
      <w:r>
        <w:rPr>
          <w:rFonts w:ascii="Inter" w:hAnsi="Inter" w:eastAsia="Inter"/>
          <w:color w:val="5F6B89"/>
          <w:sz w:val="19"/>
        </w:rPr>
        <w:t>Темная и светлая темы используют одинаковую композицию; меняются цвета и контраст, а не структура.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ГЕНЕРАЦИЯ МАКЕТОВ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Базовая инструкция для всех промптов</w:t>
      </w:r>
    </w:p>
    <w:p>
      <w:pPr>
        <w:pStyle w:val="Heading3"/>
        <w:spacing w:before="160" w:after="100" w:line="252" w:lineRule="auto"/>
      </w:pPr>
      <w:r>
        <w:rPr>
          <w:rFonts w:ascii="Inter" w:hAnsi="Inter" w:eastAsia="Inter"/>
          <w:b/>
          <w:color w:val="11162B"/>
          <w:sz w:val="25"/>
        </w:rPr>
        <w:t>Промпт для генерации дизайна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before="0" w:after="0" w:line="283" w:lineRule="auto"/>
            </w:pPr>
            <w:r>
              <w:rPr>
                <w:rFonts w:ascii="Inter" w:hAnsi="Inter" w:eastAsia="Inter"/>
                <w:color w:val="27304E"/>
                <w:sz w:val="16"/>
              </w:rPr>
              <w:t>Создай высокоточный макет секции лендинга Hulee. Современный корпоративный продуктовый дизайн, много свободного пространства, строгая сетка, крупная типографика, один главный визуал. Светлая тема: фон #FDFDFF, основной текст #11162B, фиолетовый акцент #6D5DFB, синий #3185FF, зелёный только для положительных состояний. Используй реальные экраны продукта, если они указаны в задаче. Не добавляй людей, персонажей, маскота, стоковые фотографии, сгенерированные лица, декоративные трёхмерные сцены, лишние карточки и постоянные орбитальные элементы. Русский текст должен быть читаемым. Уровень детализации Figma, настольная версия 16:9.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Как создавать тёмную версию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Добавка к промпту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Сохрани композицию без изменений. Используй однотонный фон #11162B, поверхности #171D35, границы #2A3354, основной текст #F6F7FF, вторичный #AEB8D5, акцент #7C6CFF и зелёный #38D39F. Не затемняй фон до чёрного и не добавляй сильную виньетку.</w:t>
            </w:r>
          </w:p>
        </w:tc>
      </w:tr>
    </w:tbl>
    <w:p>
      <w:pPr>
        <w:pStyle w:val="Heading2"/>
        <w:spacing w:before="160" w:after="100" w:line="252" w:lineRule="auto"/>
      </w:pPr>
      <w:r>
        <w:rPr>
          <w:rFonts w:ascii="Inter" w:hAnsi="Inter" w:eastAsia="Inter"/>
          <w:b/>
          <w:color w:val="11162B"/>
          <w:sz w:val="32"/>
        </w:rPr>
        <w:t>Что прикладывать к запросу</w:t>
      </w:r>
    </w:p>
    <w:p>
      <w:pPr>
        <w:pStyle w:val="ListNumber"/>
        <w:spacing w:before="0" w:after="80" w:line="269" w:lineRule="auto"/>
      </w:pPr>
      <w:r>
        <w:rPr>
          <w:rFonts w:ascii="Inter" w:hAnsi="Inter" w:eastAsia="Inter"/>
          <w:color w:val="5F6B89"/>
          <w:sz w:val="19"/>
        </w:rPr>
        <w:t>Актуальный скриншот продукта, если секция показывает интерфейс.</w:t>
      </w:r>
    </w:p>
    <w:p>
      <w:pPr>
        <w:pStyle w:val="ListNumber"/>
        <w:spacing w:before="0" w:after="80" w:line="269" w:lineRule="auto"/>
      </w:pPr>
      <w:r>
        <w:rPr>
          <w:rFonts w:ascii="Inter" w:hAnsi="Inter" w:eastAsia="Inter"/>
          <w:color w:val="5F6B89"/>
          <w:sz w:val="19"/>
        </w:rPr>
        <w:t>Логотип Hulee в векторном или крупном растровом формате.</w:t>
      </w:r>
    </w:p>
    <w:p>
      <w:pPr>
        <w:pStyle w:val="ListNumber"/>
        <w:spacing w:before="0" w:after="80" w:line="269" w:lineRule="auto"/>
      </w:pPr>
      <w:r>
        <w:rPr>
          <w:rFonts w:ascii="Inter" w:hAnsi="Inter" w:eastAsia="Inter"/>
          <w:color w:val="5F6B89"/>
          <w:sz w:val="19"/>
        </w:rPr>
        <w:t>Список реально доступных интеграций и их статусы.</w:t>
      </w:r>
    </w:p>
    <w:p>
      <w:pPr>
        <w:pStyle w:val="ListNumber"/>
        <w:spacing w:before="0" w:after="80" w:line="269" w:lineRule="auto"/>
      </w:pPr>
      <w:r>
        <w:rPr>
          <w:rFonts w:ascii="Inter" w:hAnsi="Inter" w:eastAsia="Inter"/>
          <w:color w:val="5F6B89"/>
          <w:sz w:val="19"/>
        </w:rPr>
        <w:t>Тексты из этой спецификации без дополнительных внутренних комментариев.</w:t>
      </w:r>
    </w:p>
    <w:p>
      <w:pPr>
        <w:pStyle w:val="ListNumber"/>
        <w:spacing w:before="0" w:after="80" w:line="269" w:lineRule="auto"/>
      </w:pPr>
      <w:r>
        <w:rPr>
          <w:rFonts w:ascii="Inter" w:hAnsi="Inter" w:eastAsia="Inter"/>
          <w:color w:val="5F6B89"/>
          <w:sz w:val="19"/>
        </w:rPr>
        <w:t>Снимок текущей дизайн-системы: цвета, кнопки, поля, пиктограммы.</w:t>
      </w:r>
    </w:p>
    <w:p>
      <w:pPr>
        <w:pageBreakBefore/>
        <w:spacing w:before="0" w:after="100" w:line="276" w:lineRule="auto"/>
      </w:pPr>
      <w:r>
        <w:rPr>
          <w:rFonts w:ascii="Inter" w:hAnsi="Inter" w:eastAsia="Inter"/>
          <w:b/>
          <w:color w:val="6D5DFB"/>
          <w:sz w:val="18"/>
        </w:rPr>
        <w:t>ПРОВЕРКА ПЕРЕД ЗАПУСКОМ</w:t>
      </w:r>
    </w:p>
    <w:p>
      <w:pPr>
        <w:pStyle w:val="Heading1"/>
        <w:spacing w:before="0" w:after="160" w:line="252" w:lineRule="auto"/>
      </w:pPr>
      <w:r>
        <w:rPr>
          <w:rFonts w:ascii="Inter" w:hAnsi="Inter" w:eastAsia="Inter"/>
          <w:b/>
          <w:color w:val="11162B"/>
          <w:sz w:val="44"/>
        </w:rPr>
        <w:t>Контрольный список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Первый экран за несколько секунд объясняет продукт, аудиторию и отличие модели цены.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На каждой секции есть только один доминирующий визуал.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Ни одна интеграция не показана готовой, если она ещё недоступна.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Нет вымышленных клиентов, отзывов, фотографий и показателей.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Слова «inbox», «storage-based», «retention», «tenant boundary», «on-prem» заменены понятными формулировками в основном тексте.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Тезис «0 ₽ за канал / сотрудника» не повторяется в каждом блоке.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Калькулятор разделяет стоимость Hulee и внешние расходы поставщиков.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Светлая и тёмная темы имеют достаточный контраст и одинаковую структуру.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Мобильная версия не превращает таблицы и вкладки в нечитаемые уменьшенные копии.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Все кнопки ведут в рабочие сценарии: регистрация, продукт, расчёт, консультация.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Юридические документы и политика обработки данных доступны из подвала.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"/>
            <w:shd w:fill="EEF1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color w:val="6D5DFB"/>
                <w:sz w:val="28"/>
              </w:rPr>
              <w:t>☐</w:t>
            </w:r>
          </w:p>
        </w:tc>
        <w:tc>
          <w:tcPr>
            <w:tcW w:type="dxa" w:w="8107"/>
            <w:shd w:fill="FFFFFF"/>
            <w:tcBorders>
              <w:top w:val="single" w:sz="4" w:color="E1E5F3"/>
              <w:left w:val="single" w:sz="4" w:color="E1E5F3"/>
              <w:bottom w:val="single" w:sz="4" w:color="E1E5F3"/>
              <w:right w:val="single" w:sz="4" w:color="E1E5F3"/>
            </w:tcBorders>
          </w:tcPr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11162B"/>
                <w:sz w:val="19"/>
              </w:rPr>
              <w:t>Реальные экраны продукта обновлены перед публикацией.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F"/>
            <w:tcBorders>
              <w:top w:val="nil"/>
              <w:left w:val="single" w:sz="16" w:color="6D5DFB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Inter" w:hAnsi="Inter" w:eastAsia="Inter"/>
                <w:b/>
                <w:color w:val="11162B"/>
                <w:sz w:val="22"/>
              </w:rPr>
              <w:t>Итог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eastAsia="Inter"/>
                <w:color w:val="5F6B89"/>
                <w:sz w:val="19"/>
              </w:rPr>
              <w:t>Новая версия лендинга должна восприниматься как демонстрация зрелого продукта: меньше декоративной графики, больше интерфейса, понятных сценариев, доказательств и свободного пространства.</w:t>
            </w:r>
          </w:p>
        </w:tc>
      </w:tr>
    </w:tbl>
    <w:p>
      <w:pPr>
        <w:pageBreakBefore/>
        <w:spacing w:after="80"/>
      </w:pPr>
      <w:r>
        <w:rPr>
          <w:rFonts w:ascii="Inter" w:hAnsi="Inter" w:eastAsia="Inter"/>
          <w:b/>
          <w:color w:val="6D5DFB"/>
          <w:sz w:val="18"/>
        </w:rPr>
        <w:t>ПРОМПТЫ ДЛЯ МАКЕТОВ</w:t>
      </w:r>
    </w:p>
    <w:p>
      <w:pPr>
        <w:spacing w:after="160"/>
      </w:pPr>
      <w:r>
        <w:rPr>
          <w:rFonts w:ascii="Inter" w:hAnsi="Inter" w:eastAsia="Inter"/>
          <w:b/>
          <w:color w:val="11162B"/>
          <w:sz w:val="44"/>
        </w:rPr>
        <w:t>Полные промпты по каждому блоку</w:t>
      </w:r>
    </w:p>
    <w:p>
      <w:pPr>
        <w:spacing w:after="240"/>
      </w:pPr>
      <w:r>
        <w:rPr>
          <w:rFonts w:ascii="Inter" w:hAnsi="Inter" w:eastAsia="Inter"/>
          <w:color w:val="5F6B89"/>
          <w:sz w:val="20"/>
        </w:rPr>
        <w:t>При генерации прикладывайте актуальные скриншоты интерфейса и дизайн-систему Hulee. Не показывайте функции и интеграции, которых ещё нет в продукте.</w:t>
      </w: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P01  Шапка и навигация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высокоточный макет шапки для лендинга Hulee. Светлая тема, белый фон с едва заметным холодным оттенком, тёмно-синий текст, фиолетово-синий акцент. Слева логотип Hulee, по центру ссылки «Продукт», «Каналы», «Для кого», «Цена», «Данные». Справа переключатель языков RU / EN / KZ, переключатель темы, кнопка «Войти» и акцентная кнопка «Попробовать бесплатно». Высота 76 пикселей, максимальная ширина 1240 пикселей, тонкая граница, очень мягкая тень. Строгий современный корпоративный стиль, много воздуха. Без людей, персонажей, трёхмерных декоративных объектов и лишних иконок. Макет уровня Figma, настольная версия 16:9.</w:t>
            </w:r>
          </w:p>
        </w:tc>
      </w:tr>
    </w:tbl>
    <w:p>
      <w:pPr>
        <w:spacing w:after="6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P02  Первый экран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первый экран лендинга Hulee в светлой теме. Современный корпоративный продуктовый дизайн, белый и очень светлый серо-голубой фон, крупная тёмно-синяя типографика, фиолетово-синие акценты, зелёный только для положительных показателей. Слева надпись «ПЛАТФОРМА КОММУНИКАЦИЙ», заголовок «Все обращения и вся команда — в одном рабочем пространстве.», короткий абзац и кнопки «Попробовать бесплатно» и «Посмотреть продукт». Справа один крупный реалистичный экран Hulee с единым списком обращений и карточкой диалога. Ниже спокойная строка показателей: «0 ₽ за канал в Hulee», «0 ₽ за сотрудника», «Оплата за объём хранения». Очень много воздуха. Без людей, персонажей, орбитальных иконок, декоративных трёхмерных картинок и лишних карточек. Реальный продукт — главный визуал. Макет уровня Figma, 16:9.</w:t>
            </w:r>
          </w:p>
        </w:tc>
      </w:tr>
    </w:tbl>
    <w:p>
      <w:pPr>
        <w:spacing w:after="60"/>
      </w:pPr>
    </w:p>
    <w:p>
      <w:pPr>
        <w:pageBreakBefore/>
        <w:spacing w:after="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P03  Доверие и подтверждение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компактный блок доверия для лендинга Hulee сразу после первого экрана. Светлая тема, тонкая горизонтальная поверхность с четырьмя проверяемыми фактами: «Облако или свои серверы», «Выгрузка истории», «Журнал действий», «Программный интерфейс и вебхуки». Используй простые контурные пиктограммы одного набора, небольшую типографику, очень мягкие разделители и много воздуха. Не добавляй вымышленные логотипы, статистику, людей или декоративные изображения. Блок должен выглядеть как спокойное подтверждение, а не как ещё один главный экран. 16:9, уровень Figma.</w:t>
            </w:r>
          </w:p>
        </w:tc>
      </w:tr>
    </w:tbl>
    <w:p>
      <w:pPr>
        <w:spacing w:after="6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P04  Продукт: полный путь обращения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«ПРОДУКТ» для лендинга Hulee в светлой теме. Заголовок «Одно обращение. Весь путь работы.». Слева вертикальные вкладки «Принять», «Понять клиента», «Передать в работу», «Проконтролировать» с короткими объяснениями. Справа один большой реалистичный экран продукта Hulee: список входящих, диалог, карточка клиента, статусы и файлы. Активная вкладка тонко подсвечивает нужную область интерфейса. Белый фон, тёмно-синий текст, фиолетово-синий акцент, минимальные контурные иконки, большое свободное пространство. Без людей, персонажей, трёхмерных декоративных сцен и сетки из шести карточек. Макет уровня Figma, 16:9.</w:t>
            </w:r>
          </w:p>
        </w:tc>
      </w:tr>
    </w:tbl>
    <w:p>
      <w:pPr>
        <w:spacing w:after="60"/>
      </w:pPr>
    </w:p>
    <w:p>
      <w:pPr>
        <w:pageBreakBefore/>
        <w:spacing w:after="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P05  Каналы и источники обращений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«КАНАЛЫ» для Hulee в светлом, воздушном стиле. Заголовок «Клиент пишет где удобно. Команда отвечает из одного места.». Слева короткое описание и переключатели категорий: «Мессенджеры», «Соцсети», «Торговые площадки», «Доски объявлений», «Сайт и почта», «Телефония», «Внутренние заявки», «Программный интерфейс». Справа компактная аккуратная сетка плоских логотипов и простая схема, показывающая, как источники сходятся в единое окно Hulee. У интеграций небольшие статусы «доступно», «по запросу», «в работе». Белый фон, спокойные фиолетово-синие линии, одинаковые контейнеры. Без персонажей, людей, объёмных орбит, платформ и чрезмерного свечения. 16:9, Figma-quality.</w:t>
            </w:r>
          </w:p>
        </w:tc>
      </w:tr>
    </w:tbl>
    <w:p>
      <w:pPr>
        <w:spacing w:after="6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P06  Как считается цена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сравнения для Hulee в светлой теме. Надпись «КАК СЧИТАЕТСЯ ЦЕНА», заголовок «Каналы и сотрудники не должны раздувать счёт.». Ниже большая чистая сравнительная таблица на четыре строки: «Каналы», «Сотрудники», «Диалоги», «Прозрачность». Левая колонка «Обычно на рынке» нейтральная, правая колонка «Hulee» выделена тонкой фиолетово-синей рамкой и зелёными знаками подтверждения. Внизу три крупные типографические метрики: «0 ₽ за канал в Hulee», «0 ₽ за сотрудника», «Оплата за объём хранения». Без картинок, людей, персонажей и трёхмерных иконок. Много воздуха, строгий корпоративный стиль, 16:9.</w:t>
            </w:r>
          </w:p>
        </w:tc>
      </w:tr>
    </w:tbl>
    <w:p>
      <w:pPr>
        <w:spacing w:after="60"/>
      </w:pPr>
    </w:p>
    <w:p>
      <w:pPr>
        <w:pageBreakBefore/>
        <w:spacing w:after="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P07  Для кого и рабочие сценарии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«ДЛЯ КОГО» для Hulee. Светлая тема, крупный заголовок «Один продукт для разных рабочих процессов.». Вверху горизонтальные вкладки: «Продажи», «Поддержка», «Интернет-магазины», «Филиалы», «Компании с требованиями к данным». Ниже слева три коротких преимущества активного сценария, справа один большой реальный экран Hulee, соответствующий выбранному сценарию. Используй спокойную сетку, тёмно-синий текст, фиолетово-синие акценты, много свободного пространства. Без пяти картинок одновременно, без людей и персонажей, без декоративной трёхмерной графики. Figma-quality, 16:9.</w:t>
            </w:r>
          </w:p>
        </w:tc>
      </w:tr>
    </w:tbl>
    <w:p>
      <w:pPr>
        <w:spacing w:after="6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P08  Калькулятор прогноза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интерактивный блок калькулятора Hulee в светлой теме. Заголовок «Посчитайте стоимость до подключения.». Две колонки: слева форма из четырёх шагов — каналы, команда, нагрузка, срок хранения; справа карточка «Ваш прогноз». В форме есть выбор каналов, ползунок сотрудников, поля «обращений в месяц», «файлы и вложения», «аудио и звонки», переключатель срока хранения и флажки дополнительных услуг. В результате: «Каналы 0 ₽», «Сотрудники 0 ₽», прогноз объёма хранения, срок и дополнительные услуги. Современный продуктовый интерфейс, белые поверхности, тёмно-синий текст, фиолетово-синие действия, зелёные подтверждения. Без людей, персонажей и декоративных иллюстраций. Высокая читаемость, 16:9.</w:t>
            </w:r>
          </w:p>
        </w:tc>
      </w:tr>
    </w:tbl>
    <w:p>
      <w:pPr>
        <w:spacing w:after="60"/>
      </w:pPr>
    </w:p>
    <w:p>
      <w:pPr>
        <w:pageBreakBefore/>
        <w:spacing w:after="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P09  Контроль данных и размещение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«КОНТРОЛЬ ДАННЫХ» для Hulee в светлой теме. Заголовок «Ваши данные. Ваши правила.». Слева короткий текст о принадлежности данных компании. Справа одна аккуратная схема: центральный щит с замком, вокруг четыре пиктограммы — отдельное хранение, срок хранения, выгрузка, место размещения. Ниже четыре спокойные карточки с заголовками «Данные компании хранятся отдельно», «Вы управляете сроком хранения», «Данные можно выгрузить», «Место размещения выбираете вы». Внизу широкая полоса «Каждое действие остаётся в журнале» с четырьмя короткими пунктами. Белый фон, тёмно-синий текст, фиолетово-синие акценты, зелёный для подтверждений. Без людей и персонажей, один доминирующий визуал, много воздуха, 16:9.</w:t>
            </w:r>
          </w:p>
        </w:tc>
      </w:tr>
    </w:tbl>
    <w:p>
      <w:pPr>
        <w:spacing w:after="6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P10  Кейсы и реальные результаты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реальных кейсов для Hulee в светлой теме. Заголовок «Что меняется после объединения каналов.». Один крупный кейс и два компактных. В каждом: место для настоящего логотипа клиента, отрасль, короткая проблема, что подключили, один измеримый результат и короткая цитата реального сотрудника. Используй нейтральные заполнители без вымышленных названий, лиц и цифр. Главный визуал — реальный экран продукта или простая схема внедрения. Белый фон, много воздуха, строгий корпоративный дизайн. Без сгенерированных людей, персонажей и декоративной трёхмерной графики. 16:9.</w:t>
            </w:r>
          </w:p>
        </w:tc>
      </w:tr>
    </w:tbl>
    <w:p>
      <w:pPr>
        <w:spacing w:after="60"/>
      </w:pPr>
    </w:p>
    <w:p>
      <w:pPr>
        <w:pageBreakBefore/>
        <w:spacing w:after="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P11  Тарифы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тарифов Hulee в светлой теме. Заголовок «Планы отличаются ресурсами и уровнем контроля, а не доступом к каналам.». Четыре карточки: «Старт», «Команда», «Бизнес», «Корпоративный». В каждой короткое назначение, объём хранения, срок истории, ключевые возможности и кнопка. Один план выделен тонкой фиолетовой рамкой. Над карточками строка «Каналы и сотрудники не тарифицируются отдельно Hulee», под карточками сноска о внешних расходах поставщиков. Строгая типографика, белый фон, минимум иконок, без людей, персонажей и декоративных изображений. 16:9.</w:t>
            </w:r>
          </w:p>
        </w:tc>
      </w:tr>
    </w:tbl>
    <w:p>
      <w:pPr>
        <w:spacing w:after="6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P12  Вопросы и ответы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секцию «ВОПРОСЫ И ОТВЕТЫ» для Hulee. Светлая тема, две колонки: слева заголовок «Что важно знать до подключения.» и короткое пояснение, справа чистый аккордеон из восьми вопросов о каналах, сотрудниках, объёме данных, росте хранения, ответах в источники, переносе истории, месте хранения и внешних расходах. Белый фон, тёмно-синий текст, тонкие светлые разделители, маленькие фиолетовые значки раскрытия. Максимум воздуха, без картинок, людей, персонажей и декоративных карточек. 16:9.</w:t>
            </w:r>
          </w:p>
        </w:tc>
      </w:tr>
    </w:tbl>
    <w:p>
      <w:pPr>
        <w:spacing w:after="60"/>
      </w:pPr>
    </w:p>
    <w:p>
      <w:pPr>
        <w:pageBreakBefore/>
        <w:spacing w:after="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P13  Финальный призыв к действию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финальный блок лендинга Hulee в светлой теме. Большая широкая поверхность с очень мягким фиолетово-синим градиентом. Заголовок «Соберите все обращения в одном рабочем пространстве.», короткий текст и кнопки «Попробовать бесплатно», «Получить расчёт», текстовая ссылка «Обсудить размещение». Справа допустим небольшой фрагмент реального интерфейса Hulee, занимающий не более 40% блока. Много воздуха, сильная типографика, один главный призыв. Без людей, персонажей, объёмных декоративных иконок и лишних карточек. 16:9.</w:t>
            </w:r>
          </w:p>
        </w:tc>
      </w:tr>
    </w:tbl>
    <w:p>
      <w:pPr>
        <w:spacing w:after="60"/>
      </w:pPr>
    </w:p>
    <w:p>
      <w:pPr>
        <w:spacing w:before="80" w:after="100"/>
      </w:pPr>
      <w:r>
        <w:rPr>
          <w:rFonts w:ascii="Inter" w:hAnsi="Inter" w:eastAsia="Inter"/>
          <w:b/>
          <w:color w:val="11162B"/>
          <w:sz w:val="28"/>
        </w:rPr>
        <w:t>P14  Подвал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1FF"/>
            <w:tcBorders>
              <w:top w:val="single" w:sz="5" w:color="B8AEFF"/>
              <w:left w:val="single" w:sz="5" w:color="B8AEFF"/>
              <w:bottom w:val="single" w:sz="5" w:color="B8AEFF"/>
              <w:right w:val="single" w:sz="5" w:color="B8AEFF"/>
            </w:tcBorders>
          </w:tcPr>
          <w:p>
            <w:pPr>
              <w:spacing w:line="276" w:lineRule="auto" w:after="0"/>
            </w:pPr>
            <w:r>
              <w:rPr>
                <w:rFonts w:ascii="Inter" w:hAnsi="Inter" w:eastAsia="Inter"/>
                <w:color w:val="27304E"/>
                <w:sz w:val="16"/>
              </w:rPr>
              <w:t>Создай минималистичный подвал лендинга Hulee. Светлая тема, слева логотип и короткая фраза «Единое рабочее пространство для коммуникаций компании». Справа четыре компактные колонки: продукт, материалы, документы, контакты. Внизу тонкий разделитель, знак авторского права, языки и переключатель темы. Белый или очень светлый холодный фон, тёмно-синий текст, фиолетовые состояния ссылок. Без изображений, людей, персонажей и лишних карточек. 16:9.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color w:val="8D96B4"/>
        <w:sz w:val="16"/>
      </w:rPr>
      <w:t>Внутренний рабочий документ  • 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 w:eastAsia="Inter"/>
        <w:color w:val="7C86A6"/>
        <w:sz w:val="16"/>
      </w:rPr>
      <w:t>Hulee  •  структура и контент лендинга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11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Hulee — структура и контент лендинга</dc:title>
  <dc:subject>Стратегия 1: продуктовый и воздушный дизайн без персонажа</dc:subject>
  <dc:creator>OpenAI</dc:creator>
  <cp:keywords>Hulee, лендинг, структура сайта, контент, дизайн, промпты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