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ABA" w:rsidRDefault="00A67D63" w:rsidP="00A67D63">
      <w:pPr>
        <w:pStyle w:val="Heading1"/>
      </w:pPr>
      <w:r>
        <w:t xml:space="preserve">Analytics </w:t>
      </w:r>
      <w:r w:rsidR="00F87607">
        <w:t>Products</w:t>
      </w:r>
      <w:r>
        <w:t xml:space="preserve"> Condition-Management Standards</w:t>
      </w:r>
    </w:p>
    <w:p w:rsidR="00A67D63" w:rsidRDefault="00A67D63"/>
    <w:p w:rsidR="001E32A3" w:rsidRDefault="001E32A3">
      <w:r>
        <w:t xml:space="preserve">This document treats </w:t>
      </w:r>
      <w:r w:rsidRPr="001E32A3">
        <w:rPr>
          <w:b/>
        </w:rPr>
        <w:t>condition management</w:t>
      </w:r>
      <w:r>
        <w:t xml:space="preserve"> (CM) as a set of practices designed to prevent or handle errors and other unwanted runtime conditions.  When we distinguish CM from </w:t>
      </w:r>
      <w:r w:rsidRPr="001E32A3">
        <w:rPr>
          <w:b/>
        </w:rPr>
        <w:t>error management</w:t>
      </w:r>
      <w:r>
        <w:t xml:space="preserve"> (EM), we mean the set of CM practices (broadly speaking) other than EM practices.</w:t>
      </w:r>
    </w:p>
    <w:p w:rsidR="001E32A3" w:rsidRDefault="001E32A3"/>
    <w:p w:rsidR="001E32A3" w:rsidRDefault="001E32A3">
      <w:r>
        <w:t xml:space="preserve">Our goals in condition management are to </w:t>
      </w:r>
    </w:p>
    <w:p w:rsidR="001E32A3" w:rsidRDefault="001E32A3" w:rsidP="001E32A3">
      <w:pPr>
        <w:pStyle w:val="ListParagraph"/>
        <w:numPr>
          <w:ilvl w:val="0"/>
          <w:numId w:val="21"/>
        </w:numPr>
      </w:pPr>
      <w:r>
        <w:t>prevent unwanted runtime conditions</w:t>
      </w:r>
    </w:p>
    <w:p w:rsidR="001E32A3" w:rsidRDefault="001E32A3" w:rsidP="001E32A3">
      <w:pPr>
        <w:pStyle w:val="ListParagraph"/>
        <w:numPr>
          <w:ilvl w:val="0"/>
          <w:numId w:val="21"/>
        </w:numPr>
      </w:pPr>
      <w:r>
        <w:t>as early as possible in the execution path</w:t>
      </w:r>
    </w:p>
    <w:p w:rsidR="001E32A3" w:rsidRDefault="001E32A3" w:rsidP="001E32A3">
      <w:pPr>
        <w:pStyle w:val="ListParagraph"/>
        <w:numPr>
          <w:ilvl w:val="0"/>
          <w:numId w:val="21"/>
        </w:numPr>
      </w:pPr>
      <w:r>
        <w:t>in a way that avoids or minimizes input revision</w:t>
      </w:r>
    </w:p>
    <w:p w:rsidR="000B2B5E" w:rsidRDefault="001E32A3" w:rsidP="000B2B5E">
      <w:pPr>
        <w:pStyle w:val="ListParagraph"/>
        <w:numPr>
          <w:ilvl w:val="0"/>
          <w:numId w:val="21"/>
        </w:numPr>
      </w:pPr>
      <w:r>
        <w:t>while honoring user-experience (UX) idioms.</w:t>
      </w:r>
    </w:p>
    <w:p w:rsidR="000A12E2" w:rsidRDefault="000A12E2" w:rsidP="000B2B5E">
      <w:pPr>
        <w:pStyle w:val="Heading2"/>
      </w:pPr>
      <w:r>
        <w:t>Presumed Development Target</w:t>
      </w:r>
    </w:p>
    <w:p w:rsidR="000A12E2" w:rsidRDefault="000A12E2"/>
    <w:p w:rsidR="00A40268" w:rsidRDefault="00A40268">
      <w:r>
        <w:t>This standard assumes development of a tool whose execution has the following steps:</w:t>
      </w:r>
    </w:p>
    <w:p w:rsidR="00BE67F6" w:rsidRDefault="00BE67F6" w:rsidP="00A40268">
      <w:pPr>
        <w:pStyle w:val="ListParagraph"/>
        <w:numPr>
          <w:ilvl w:val="0"/>
          <w:numId w:val="1"/>
        </w:numPr>
      </w:pPr>
      <w:r>
        <w:t>Prepare execution environment.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Elicit end-user input.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Transform end-user input.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Read data.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Transform data.</w:t>
      </w:r>
    </w:p>
    <w:p w:rsidR="00A40268" w:rsidRDefault="00FB2849" w:rsidP="00A40268">
      <w:pPr>
        <w:pStyle w:val="ListParagraph"/>
        <w:numPr>
          <w:ilvl w:val="0"/>
          <w:numId w:val="1"/>
        </w:numPr>
      </w:pPr>
      <w:r>
        <w:t xml:space="preserve">Fit </w:t>
      </w:r>
      <w:r w:rsidR="00A40268">
        <w:t>model.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Present results to end user.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Save model.</w:t>
      </w:r>
    </w:p>
    <w:p w:rsidR="00A40268" w:rsidRDefault="00A40268" w:rsidP="00A40268">
      <w:pPr>
        <w:pStyle w:val="ListParagraph"/>
        <w:numPr>
          <w:ilvl w:val="0"/>
          <w:numId w:val="1"/>
        </w:numPr>
      </w:pPr>
      <w:r>
        <w:t>Save results.</w:t>
      </w:r>
    </w:p>
    <w:p w:rsidR="000A12E2" w:rsidRDefault="00A40268" w:rsidP="00A004B8">
      <w:pPr>
        <w:pStyle w:val="ListParagraph"/>
        <w:numPr>
          <w:ilvl w:val="0"/>
          <w:numId w:val="1"/>
        </w:numPr>
      </w:pPr>
      <w:r>
        <w:t>Output results.</w:t>
      </w:r>
    </w:p>
    <w:p w:rsidR="00C32417" w:rsidRDefault="00C32417">
      <w:pPr>
        <w:spacing w:line="259" w:lineRule="auto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A12E2" w:rsidRDefault="005F74ED" w:rsidP="000B2B5E">
      <w:pPr>
        <w:pStyle w:val="Heading2"/>
      </w:pPr>
      <w:r>
        <w:lastRenderedPageBreak/>
        <w:t>Available Error-Management (E</w:t>
      </w:r>
      <w:r w:rsidR="000A12E2">
        <w:t>M) Tactics</w:t>
      </w:r>
    </w:p>
    <w:p w:rsidR="000A12E2" w:rsidRDefault="000A12E2" w:rsidP="00A40268"/>
    <w:p w:rsidR="00A40268" w:rsidRDefault="00A40268" w:rsidP="00A40268">
      <w:r>
        <w:t>When an error occurs, we can handle the error using any of the following tactics:</w:t>
      </w:r>
    </w:p>
    <w:p w:rsidR="00A40268" w:rsidRDefault="00A40268" w:rsidP="00A40268">
      <w:pPr>
        <w:pStyle w:val="ListParagraph"/>
        <w:numPr>
          <w:ilvl w:val="0"/>
          <w:numId w:val="2"/>
        </w:numPr>
      </w:pPr>
      <w:r>
        <w:t xml:space="preserve">Catch the </w:t>
      </w:r>
      <w:r w:rsidR="000A12E2">
        <w:t xml:space="preserve">specific </w:t>
      </w:r>
      <w:r>
        <w:t>error upon input, elicit corrected input, and re-try.</w:t>
      </w:r>
    </w:p>
    <w:p w:rsidR="00990404" w:rsidRDefault="00990404" w:rsidP="00A40268">
      <w:pPr>
        <w:pStyle w:val="ListParagraph"/>
        <w:numPr>
          <w:ilvl w:val="0"/>
          <w:numId w:val="2"/>
        </w:numPr>
      </w:pPr>
      <w:r>
        <w:t xml:space="preserve">Catch the </w:t>
      </w:r>
      <w:r w:rsidR="000A12E2">
        <w:t xml:space="preserve">specific </w:t>
      </w:r>
      <w:r>
        <w:t>error upon input, cleanse it, and continue (possibly with warning or notification).</w:t>
      </w:r>
    </w:p>
    <w:p w:rsidR="00990404" w:rsidRDefault="00990404" w:rsidP="00990404">
      <w:pPr>
        <w:pStyle w:val="ListParagraph"/>
        <w:numPr>
          <w:ilvl w:val="0"/>
          <w:numId w:val="2"/>
        </w:numPr>
      </w:pPr>
      <w:r>
        <w:t xml:space="preserve">Catch the </w:t>
      </w:r>
      <w:r w:rsidR="000A12E2">
        <w:t xml:space="preserve">specific </w:t>
      </w:r>
      <w:r>
        <w:t>error upon input, delete the record, and continue (same deal).</w:t>
      </w:r>
    </w:p>
    <w:p w:rsidR="00990404" w:rsidRDefault="000A12E2" w:rsidP="00A40268">
      <w:pPr>
        <w:pStyle w:val="ListParagraph"/>
        <w:numPr>
          <w:ilvl w:val="0"/>
          <w:numId w:val="2"/>
        </w:numPr>
      </w:pPr>
      <w:r>
        <w:t>Catch the error with a general-purpose error-catching mechanism (e.g. a try-catch block).</w:t>
      </w:r>
    </w:p>
    <w:p w:rsidR="000A12E2" w:rsidRDefault="000A12E2" w:rsidP="001E41AC">
      <w:pPr>
        <w:pStyle w:val="ListParagraph"/>
        <w:numPr>
          <w:ilvl w:val="0"/>
          <w:numId w:val="2"/>
        </w:numPr>
      </w:pPr>
      <w:r>
        <w:t>Not handle the error.</w:t>
      </w:r>
    </w:p>
    <w:p w:rsidR="00C32417" w:rsidRDefault="00C32417" w:rsidP="00C32417"/>
    <w:p w:rsidR="000A12E2" w:rsidRDefault="000A12E2" w:rsidP="000A12E2">
      <w:pPr>
        <w:pStyle w:val="Heading2"/>
      </w:pPr>
      <w:r>
        <w:t>Available Condition-Management (CM) Tactics</w:t>
      </w:r>
    </w:p>
    <w:p w:rsidR="000A12E2" w:rsidRDefault="000A12E2" w:rsidP="001E41AC"/>
    <w:p w:rsidR="001E41AC" w:rsidRDefault="001E41AC" w:rsidP="001E41AC">
      <w:r>
        <w:t>We may apply any of the followin</w:t>
      </w:r>
      <w:r w:rsidR="00B74F14">
        <w:t>g condition-management tactics:</w:t>
      </w:r>
    </w:p>
    <w:p w:rsidR="001E41AC" w:rsidRDefault="0042219E" w:rsidP="001E41AC">
      <w:pPr>
        <w:pStyle w:val="ListParagraph"/>
        <w:numPr>
          <w:ilvl w:val="0"/>
          <w:numId w:val="7"/>
        </w:numPr>
      </w:pPr>
      <w:r>
        <w:t>Force correct input.</w:t>
      </w:r>
    </w:p>
    <w:p w:rsidR="001E41AC" w:rsidRDefault="00E9615A" w:rsidP="001E41AC">
      <w:pPr>
        <w:pStyle w:val="ListParagraph"/>
        <w:numPr>
          <w:ilvl w:val="0"/>
          <w:numId w:val="7"/>
        </w:numPr>
      </w:pPr>
      <w:r>
        <w:t>Apply weak</w:t>
      </w:r>
      <w:r w:rsidR="00473394">
        <w:t xml:space="preserve"> validation</w:t>
      </w:r>
      <w:r w:rsidR="001E41AC">
        <w:t xml:space="preserve"> and re-try.</w:t>
      </w:r>
    </w:p>
    <w:p w:rsidR="00E9615A" w:rsidRDefault="00E9615A" w:rsidP="001E41AC">
      <w:pPr>
        <w:pStyle w:val="ListParagraph"/>
        <w:numPr>
          <w:ilvl w:val="0"/>
          <w:numId w:val="7"/>
        </w:numPr>
      </w:pPr>
      <w:r>
        <w:t>Apply strong validation</w:t>
      </w:r>
      <w:r w:rsidR="00DB132D">
        <w:t>, prompt,</w:t>
      </w:r>
      <w:r>
        <w:t xml:space="preserve"> and re-try.</w:t>
      </w:r>
    </w:p>
    <w:p w:rsidR="001E41AC" w:rsidRDefault="001E41AC" w:rsidP="001E41AC">
      <w:pPr>
        <w:pStyle w:val="ListParagraph"/>
        <w:numPr>
          <w:ilvl w:val="0"/>
          <w:numId w:val="7"/>
        </w:numPr>
      </w:pPr>
      <w:r>
        <w:t>Warn about unexpected results or events.</w:t>
      </w:r>
    </w:p>
    <w:p w:rsidR="001E41AC" w:rsidRDefault="001E41AC" w:rsidP="001E41AC">
      <w:pPr>
        <w:pStyle w:val="ListParagraph"/>
        <w:numPr>
          <w:ilvl w:val="0"/>
          <w:numId w:val="7"/>
        </w:numPr>
      </w:pPr>
      <w:r>
        <w:t>Fail gracefully.</w:t>
      </w:r>
    </w:p>
    <w:p w:rsidR="001E41AC" w:rsidRDefault="001E41AC" w:rsidP="001E41AC">
      <w:pPr>
        <w:pStyle w:val="ListParagraph"/>
        <w:numPr>
          <w:ilvl w:val="0"/>
          <w:numId w:val="7"/>
        </w:numPr>
      </w:pPr>
      <w:r>
        <w:t>Warn gracefully.</w:t>
      </w:r>
    </w:p>
    <w:p w:rsidR="001E41AC" w:rsidRDefault="001E41AC" w:rsidP="001E41AC">
      <w:pPr>
        <w:pStyle w:val="ListParagraph"/>
        <w:numPr>
          <w:ilvl w:val="0"/>
          <w:numId w:val="7"/>
        </w:numPr>
      </w:pPr>
      <w:r>
        <w:t>Warn and prompt to alter execution.</w:t>
      </w:r>
    </w:p>
    <w:p w:rsidR="00EF2405" w:rsidRDefault="00EF2405" w:rsidP="001E41AC">
      <w:pPr>
        <w:pStyle w:val="ListParagraph"/>
        <w:numPr>
          <w:ilvl w:val="0"/>
          <w:numId w:val="7"/>
        </w:numPr>
      </w:pPr>
      <w:r>
        <w:t>Warn gracefully and alter the model.</w:t>
      </w:r>
    </w:p>
    <w:p w:rsidR="007B437F" w:rsidRDefault="007B437F" w:rsidP="001E41AC">
      <w:pPr>
        <w:pStyle w:val="ListParagraph"/>
        <w:numPr>
          <w:ilvl w:val="0"/>
          <w:numId w:val="7"/>
        </w:numPr>
      </w:pPr>
      <w:r>
        <w:t>Log each condition occurrence.</w:t>
      </w:r>
    </w:p>
    <w:p w:rsidR="009733A5" w:rsidRDefault="00E1092E" w:rsidP="003649E7">
      <w:pPr>
        <w:pStyle w:val="ListParagraph"/>
        <w:numPr>
          <w:ilvl w:val="0"/>
          <w:numId w:val="7"/>
        </w:numPr>
      </w:pPr>
      <w:r>
        <w:t>Warn and update environment.</w:t>
      </w:r>
    </w:p>
    <w:p w:rsidR="009733A5" w:rsidRDefault="009733A5" w:rsidP="009733A5"/>
    <w:p w:rsidR="000B5442" w:rsidRDefault="000B5442">
      <w:pPr>
        <w:spacing w:line="259" w:lineRule="auto"/>
        <w:contextualSpacing w:val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GoBack"/>
      <w:bookmarkEnd w:id="0"/>
      <w:r>
        <w:br w:type="page"/>
      </w:r>
    </w:p>
    <w:p w:rsidR="000A12E2" w:rsidRDefault="000A12E2" w:rsidP="000A12E2">
      <w:pPr>
        <w:pStyle w:val="Heading2"/>
      </w:pPr>
      <w:r>
        <w:lastRenderedPageBreak/>
        <w:t>General CM Standards</w:t>
      </w:r>
    </w:p>
    <w:p w:rsidR="000A12E2" w:rsidRDefault="000A12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25"/>
        <w:gridCol w:w="3755"/>
        <w:gridCol w:w="1795"/>
        <w:gridCol w:w="1795"/>
        <w:gridCol w:w="1795"/>
      </w:tblGrid>
      <w:tr w:rsidR="00D739D9" w:rsidTr="008C08B1">
        <w:tc>
          <w:tcPr>
            <w:tcW w:w="675" w:type="dxa"/>
          </w:tcPr>
          <w:p w:rsidR="00D739D9" w:rsidRPr="00786D8A" w:rsidRDefault="00D739D9">
            <w:pPr>
              <w:rPr>
                <w:b/>
              </w:rPr>
            </w:pPr>
            <w:r w:rsidRPr="00786D8A">
              <w:rPr>
                <w:b/>
              </w:rPr>
              <w:t>ID</w:t>
            </w:r>
          </w:p>
        </w:tc>
        <w:tc>
          <w:tcPr>
            <w:tcW w:w="3125" w:type="dxa"/>
          </w:tcPr>
          <w:p w:rsidR="00D739D9" w:rsidRPr="00786D8A" w:rsidRDefault="00D739D9">
            <w:pPr>
              <w:rPr>
                <w:b/>
              </w:rPr>
            </w:pPr>
            <w:r w:rsidRPr="00786D8A">
              <w:rPr>
                <w:b/>
              </w:rPr>
              <w:t>Description</w:t>
            </w:r>
          </w:p>
        </w:tc>
        <w:tc>
          <w:tcPr>
            <w:tcW w:w="3755" w:type="dxa"/>
          </w:tcPr>
          <w:p w:rsidR="00D739D9" w:rsidRPr="00786D8A" w:rsidRDefault="00D739D9">
            <w:pPr>
              <w:rPr>
                <w:b/>
              </w:rPr>
            </w:pPr>
            <w:r w:rsidRPr="00786D8A">
              <w:rPr>
                <w:b/>
              </w:rPr>
              <w:t>Purpose</w:t>
            </w:r>
          </w:p>
        </w:tc>
        <w:tc>
          <w:tcPr>
            <w:tcW w:w="1795" w:type="dxa"/>
          </w:tcPr>
          <w:p w:rsidR="00D739D9" w:rsidRDefault="00D739D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D739D9" w:rsidRPr="00786D8A" w:rsidRDefault="00D739D9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795" w:type="dxa"/>
          </w:tcPr>
          <w:p w:rsidR="00D739D9" w:rsidRDefault="00D739D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D739D9" w:rsidRDefault="00D739D9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795" w:type="dxa"/>
          </w:tcPr>
          <w:p w:rsidR="00D739D9" w:rsidRDefault="00D739D9">
            <w:pPr>
              <w:rPr>
                <w:b/>
              </w:rPr>
            </w:pPr>
            <w:r>
              <w:rPr>
                <w:b/>
              </w:rPr>
              <w:t>Ratification</w:t>
            </w:r>
          </w:p>
          <w:p w:rsidR="00D739D9" w:rsidRDefault="00D739D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D739D9" w:rsidTr="008C08B1">
        <w:tc>
          <w:tcPr>
            <w:tcW w:w="675" w:type="dxa"/>
          </w:tcPr>
          <w:p w:rsidR="00D739D9" w:rsidRDefault="00D739D9">
            <w:r>
              <w:t>CM1</w:t>
            </w:r>
          </w:p>
        </w:tc>
        <w:tc>
          <w:tcPr>
            <w:tcW w:w="3125" w:type="dxa"/>
          </w:tcPr>
          <w:p w:rsidR="00D739D9" w:rsidRDefault="00D739D9" w:rsidP="000A12E2">
            <w:r>
              <w:t xml:space="preserve">Our tools will honor Alteryx UI idioms for communicating fatal errors, errors, warnings, and messages.    </w:t>
            </w:r>
          </w:p>
        </w:tc>
        <w:tc>
          <w:tcPr>
            <w:tcW w:w="3755" w:type="dxa"/>
          </w:tcPr>
          <w:p w:rsidR="00D739D9" w:rsidRDefault="00D739D9">
            <w:r>
              <w:t>Our overall CM strategy should honor Alteryx UI idioms, so customers have a consistent experience regardless of tool type.</w:t>
            </w:r>
          </w:p>
        </w:tc>
        <w:tc>
          <w:tcPr>
            <w:tcW w:w="1795" w:type="dxa"/>
          </w:tcPr>
          <w:p w:rsidR="00D739D9" w:rsidRDefault="00D739D9" w:rsidP="00F25BC5">
            <w:r>
              <w:t>code review</w:t>
            </w:r>
          </w:p>
          <w:p w:rsidR="00D739D9" w:rsidRDefault="00D739D9" w:rsidP="00F25BC5">
            <w:r>
              <w:t>UI testing</w:t>
            </w:r>
          </w:p>
        </w:tc>
        <w:tc>
          <w:tcPr>
            <w:tcW w:w="1795" w:type="dxa"/>
          </w:tcPr>
          <w:p w:rsidR="00F9424A" w:rsidRDefault="000B5442" w:rsidP="00F25BC5">
            <w:r>
              <w:t>opportunistic</w:t>
            </w:r>
          </w:p>
        </w:tc>
        <w:tc>
          <w:tcPr>
            <w:tcW w:w="1795" w:type="dxa"/>
          </w:tcPr>
          <w:p w:rsidR="00D739D9" w:rsidRDefault="000B5442" w:rsidP="00F25BC5">
            <w:r>
              <w:t>PI4</w:t>
            </w:r>
          </w:p>
        </w:tc>
      </w:tr>
      <w:tr w:rsidR="00D739D9" w:rsidTr="008C08B1">
        <w:tc>
          <w:tcPr>
            <w:tcW w:w="675" w:type="dxa"/>
          </w:tcPr>
          <w:p w:rsidR="00D739D9" w:rsidRDefault="00D739D9">
            <w:r>
              <w:t>CM2</w:t>
            </w:r>
          </w:p>
        </w:tc>
        <w:tc>
          <w:tcPr>
            <w:tcW w:w="3125" w:type="dxa"/>
          </w:tcPr>
          <w:p w:rsidR="00D739D9" w:rsidRDefault="00D739D9" w:rsidP="00EA31F6">
            <w:r>
              <w:t xml:space="preserve">In particular, interpreter crashes will be treated as errors.  </w:t>
            </w:r>
          </w:p>
        </w:tc>
        <w:tc>
          <w:tcPr>
            <w:tcW w:w="3755" w:type="dxa"/>
          </w:tcPr>
          <w:p w:rsidR="00D739D9" w:rsidRDefault="00D739D9" w:rsidP="00F94C15">
            <w:r>
              <w:t>An interpreter crash is a non-catastrophic error affecting a single tool within a Alteryx dataflow (assuming the Alteryx engine itself does not crash); Alteryx treats single-tool failures as errors.  (This is a case of CM1.)</w:t>
            </w:r>
          </w:p>
        </w:tc>
        <w:tc>
          <w:tcPr>
            <w:tcW w:w="1795" w:type="dxa"/>
          </w:tcPr>
          <w:p w:rsidR="00D739D9" w:rsidRDefault="00D739D9" w:rsidP="00F94C15">
            <w:r>
              <w:t>UI testing</w:t>
            </w:r>
          </w:p>
        </w:tc>
        <w:tc>
          <w:tcPr>
            <w:tcW w:w="1795" w:type="dxa"/>
          </w:tcPr>
          <w:p w:rsidR="00D739D9" w:rsidRDefault="000B5442" w:rsidP="00F94C15">
            <w:r>
              <w:t>comprehensive</w:t>
            </w:r>
          </w:p>
        </w:tc>
        <w:tc>
          <w:tcPr>
            <w:tcW w:w="1795" w:type="dxa"/>
          </w:tcPr>
          <w:p w:rsidR="00D739D9" w:rsidRDefault="000B5442" w:rsidP="00F94C15">
            <w:r>
              <w:t>PI4</w:t>
            </w:r>
          </w:p>
        </w:tc>
      </w:tr>
      <w:tr w:rsidR="00D739D9" w:rsidTr="008C08B1">
        <w:tc>
          <w:tcPr>
            <w:tcW w:w="675" w:type="dxa"/>
          </w:tcPr>
          <w:p w:rsidR="00D739D9" w:rsidRDefault="00D739D9">
            <w:r>
              <w:t>CM3</w:t>
            </w:r>
          </w:p>
        </w:tc>
        <w:tc>
          <w:tcPr>
            <w:tcW w:w="3125" w:type="dxa"/>
          </w:tcPr>
          <w:p w:rsidR="00D739D9" w:rsidRDefault="00D739D9" w:rsidP="000A12E2">
            <w:r>
              <w:t>Model- and data-quality issues will be communicated through UI features that are more sophisticated than those in CM1.</w:t>
            </w:r>
          </w:p>
        </w:tc>
        <w:tc>
          <w:tcPr>
            <w:tcW w:w="3755" w:type="dxa"/>
          </w:tcPr>
          <w:p w:rsidR="00D739D9" w:rsidRDefault="00D739D9" w:rsidP="00696F0E">
            <w:r>
              <w:t>Model and data quality do not reflect execution imperfections but degrees of modeling effectiveness.  Fine-grained, contextualized UI features expressing these concepts will support our goal of extreme usability.</w:t>
            </w:r>
          </w:p>
        </w:tc>
        <w:tc>
          <w:tcPr>
            <w:tcW w:w="1795" w:type="dxa"/>
          </w:tcPr>
          <w:p w:rsidR="00D739D9" w:rsidRDefault="00D739D9" w:rsidP="00696F0E">
            <w:r>
              <w:t>code review</w:t>
            </w:r>
          </w:p>
          <w:p w:rsidR="00D739D9" w:rsidRDefault="00D739D9" w:rsidP="00696F0E">
            <w:r>
              <w:t>UI testing</w:t>
            </w:r>
          </w:p>
        </w:tc>
        <w:tc>
          <w:tcPr>
            <w:tcW w:w="1795" w:type="dxa"/>
          </w:tcPr>
          <w:p w:rsidR="00D739D9" w:rsidRDefault="00527235" w:rsidP="00696F0E">
            <w:r>
              <w:t>opportunistic</w:t>
            </w:r>
          </w:p>
        </w:tc>
        <w:tc>
          <w:tcPr>
            <w:tcW w:w="1795" w:type="dxa"/>
          </w:tcPr>
          <w:p w:rsidR="00D739D9" w:rsidRDefault="00527235" w:rsidP="00696F0E">
            <w:r>
              <w:t>PI4</w:t>
            </w:r>
          </w:p>
        </w:tc>
      </w:tr>
      <w:tr w:rsidR="00D739D9" w:rsidTr="008C08B1">
        <w:tc>
          <w:tcPr>
            <w:tcW w:w="675" w:type="dxa"/>
          </w:tcPr>
          <w:p w:rsidR="00D739D9" w:rsidRDefault="00D739D9">
            <w:r>
              <w:t>CM4</w:t>
            </w:r>
          </w:p>
        </w:tc>
        <w:tc>
          <w:tcPr>
            <w:tcW w:w="3125" w:type="dxa"/>
          </w:tcPr>
          <w:p w:rsidR="00D739D9" w:rsidRDefault="00D739D9" w:rsidP="00926C93">
            <w:r>
              <w:t>CM and E</w:t>
            </w:r>
            <w:r w:rsidR="00926C93">
              <w:t>H</w:t>
            </w:r>
            <w:r>
              <w:t xml:space="preserve"> standards requiring UI elements to force appropriate input may be enforced after </w:t>
            </w:r>
            <w:r w:rsidR="00961941">
              <w:t xml:space="preserve">e.g. </w:t>
            </w:r>
            <w:r>
              <w:t>an API call through any of the post-input CM tactics, as appropriate, but shall not go unhandled.</w:t>
            </w:r>
          </w:p>
        </w:tc>
        <w:tc>
          <w:tcPr>
            <w:tcW w:w="3755" w:type="dxa"/>
          </w:tcPr>
          <w:p w:rsidR="00D739D9" w:rsidRDefault="00D739D9">
            <w:r>
              <w:t>The intention here is to make API behavior as consistent as possible with UI behavior, for the sake of usability and testability.</w:t>
            </w:r>
          </w:p>
        </w:tc>
        <w:tc>
          <w:tcPr>
            <w:tcW w:w="1795" w:type="dxa"/>
          </w:tcPr>
          <w:p w:rsidR="00527235" w:rsidRDefault="00527235">
            <w:r>
              <w:t>code review</w:t>
            </w:r>
          </w:p>
          <w:p w:rsidR="00D739D9" w:rsidRDefault="00D739D9">
            <w:r>
              <w:t>unit testing</w:t>
            </w:r>
          </w:p>
          <w:p w:rsidR="00D739D9" w:rsidRDefault="00D739D9">
            <w:r>
              <w:t>functional testing</w:t>
            </w:r>
          </w:p>
        </w:tc>
        <w:tc>
          <w:tcPr>
            <w:tcW w:w="1795" w:type="dxa"/>
          </w:tcPr>
          <w:p w:rsidR="00D739D9" w:rsidRDefault="00527235">
            <w:r>
              <w:t>opportunistic</w:t>
            </w:r>
          </w:p>
        </w:tc>
        <w:tc>
          <w:tcPr>
            <w:tcW w:w="1795" w:type="dxa"/>
          </w:tcPr>
          <w:p w:rsidR="00D739D9" w:rsidRDefault="00527235">
            <w:r>
              <w:t>PI4</w:t>
            </w:r>
          </w:p>
        </w:tc>
      </w:tr>
      <w:tr w:rsidR="00D739D9" w:rsidTr="008C08B1">
        <w:tc>
          <w:tcPr>
            <w:tcW w:w="675" w:type="dxa"/>
          </w:tcPr>
          <w:p w:rsidR="00D739D9" w:rsidRDefault="00D739D9">
            <w:r>
              <w:t>CM5</w:t>
            </w:r>
          </w:p>
        </w:tc>
        <w:tc>
          <w:tcPr>
            <w:tcW w:w="3125" w:type="dxa"/>
          </w:tcPr>
          <w:p w:rsidR="00D739D9" w:rsidRDefault="00D739D9" w:rsidP="000A12E2">
            <w:r>
              <w:t>Features beyond model fitting or scoring proper that require significant execution time should be optional/selectable.</w:t>
            </w:r>
          </w:p>
        </w:tc>
        <w:tc>
          <w:tcPr>
            <w:tcW w:w="3755" w:type="dxa"/>
          </w:tcPr>
          <w:p w:rsidR="00D739D9" w:rsidRDefault="00D739D9">
            <w:r>
              <w:t>Maximize performance and let the end user choose which non-necessary modeling results they’re interested in (or can comprehend).</w:t>
            </w:r>
          </w:p>
        </w:tc>
        <w:tc>
          <w:tcPr>
            <w:tcW w:w="1795" w:type="dxa"/>
          </w:tcPr>
          <w:p w:rsidR="00D739D9" w:rsidRDefault="00D739D9">
            <w:r>
              <w:t>design review</w:t>
            </w:r>
          </w:p>
          <w:p w:rsidR="00D739D9" w:rsidRDefault="00D739D9">
            <w:r>
              <w:t>UI testing</w:t>
            </w:r>
          </w:p>
        </w:tc>
        <w:tc>
          <w:tcPr>
            <w:tcW w:w="1795" w:type="dxa"/>
          </w:tcPr>
          <w:p w:rsidR="00D739D9" w:rsidRDefault="009832BE">
            <w:r>
              <w:t>selective plus opportunistic</w:t>
            </w:r>
          </w:p>
        </w:tc>
        <w:tc>
          <w:tcPr>
            <w:tcW w:w="1795" w:type="dxa"/>
          </w:tcPr>
          <w:p w:rsidR="00D739D9" w:rsidRDefault="006C0504">
            <w:r>
              <w:t>PI4</w:t>
            </w:r>
          </w:p>
        </w:tc>
      </w:tr>
    </w:tbl>
    <w:p w:rsidR="00AA343A" w:rsidRDefault="00AA343A" w:rsidP="00AA343A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A67D63" w:rsidRDefault="00473394" w:rsidP="00473394">
      <w:pPr>
        <w:pStyle w:val="Heading2"/>
      </w:pPr>
      <w:r>
        <w:lastRenderedPageBreak/>
        <w:t>Step-Specific Standards</w:t>
      </w:r>
    </w:p>
    <w:p w:rsidR="00473394" w:rsidRDefault="004733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"/>
        <w:gridCol w:w="3986"/>
        <w:gridCol w:w="2413"/>
        <w:gridCol w:w="1864"/>
        <w:gridCol w:w="1840"/>
        <w:gridCol w:w="1840"/>
      </w:tblGrid>
      <w:tr w:rsidR="006F6859" w:rsidTr="006F6859">
        <w:tc>
          <w:tcPr>
            <w:tcW w:w="1007" w:type="dxa"/>
          </w:tcPr>
          <w:p w:rsidR="006F6859" w:rsidRPr="00601BBC" w:rsidRDefault="006F6859" w:rsidP="006F6859">
            <w:pPr>
              <w:rPr>
                <w:b/>
              </w:rPr>
            </w:pPr>
            <w:r w:rsidRPr="00601BBC">
              <w:rPr>
                <w:b/>
              </w:rPr>
              <w:t>ID</w:t>
            </w:r>
          </w:p>
        </w:tc>
        <w:tc>
          <w:tcPr>
            <w:tcW w:w="3986" w:type="dxa"/>
          </w:tcPr>
          <w:p w:rsidR="006F6859" w:rsidRPr="00601BBC" w:rsidRDefault="006F6859" w:rsidP="006F6859">
            <w:pPr>
              <w:rPr>
                <w:b/>
              </w:rPr>
            </w:pPr>
            <w:r w:rsidRPr="00601BBC">
              <w:rPr>
                <w:b/>
              </w:rPr>
              <w:t>Condition Management</w:t>
            </w:r>
          </w:p>
        </w:tc>
        <w:tc>
          <w:tcPr>
            <w:tcW w:w="2413" w:type="dxa"/>
          </w:tcPr>
          <w:p w:rsidR="006F6859" w:rsidRPr="00601BBC" w:rsidRDefault="006F6859" w:rsidP="006F6859">
            <w:pPr>
              <w:rPr>
                <w:b/>
              </w:rPr>
            </w:pPr>
            <w:r w:rsidRPr="00601BBC">
              <w:rPr>
                <w:b/>
              </w:rPr>
              <w:t>Error Handling</w:t>
            </w:r>
          </w:p>
        </w:tc>
        <w:tc>
          <w:tcPr>
            <w:tcW w:w="1864" w:type="dxa"/>
          </w:tcPr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6F6859" w:rsidRPr="00786D8A" w:rsidRDefault="006F6859" w:rsidP="006F6859">
            <w:pPr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1840" w:type="dxa"/>
          </w:tcPr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Enforcement</w:t>
            </w:r>
          </w:p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Mode</w:t>
            </w:r>
          </w:p>
        </w:tc>
        <w:tc>
          <w:tcPr>
            <w:tcW w:w="1840" w:type="dxa"/>
          </w:tcPr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Ratification</w:t>
            </w:r>
          </w:p>
          <w:p w:rsidR="006F6859" w:rsidRDefault="006F6859" w:rsidP="006F6859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6F6859" w:rsidTr="006F6859">
        <w:tc>
          <w:tcPr>
            <w:tcW w:w="1007" w:type="dxa"/>
          </w:tcPr>
          <w:p w:rsidR="006F6859" w:rsidRDefault="006F6859">
            <w:r>
              <w:t>CM Step 1</w:t>
            </w:r>
          </w:p>
        </w:tc>
        <w:tc>
          <w:tcPr>
            <w:tcW w:w="3986" w:type="dxa"/>
          </w:tcPr>
          <w:p w:rsidR="006F6859" w:rsidRDefault="006F6859" w:rsidP="00685CB6">
            <w:pPr>
              <w:pStyle w:val="ListParagraph"/>
              <w:numPr>
                <w:ilvl w:val="0"/>
                <w:numId w:val="4"/>
              </w:numPr>
            </w:pPr>
            <w:r>
              <w:t xml:space="preserve">Check for required environment components, and apply CM tactic 5 or 10 if a component is missing, out of date, or fails to load. </w:t>
            </w:r>
          </w:p>
        </w:tc>
        <w:tc>
          <w:tcPr>
            <w:tcW w:w="2413" w:type="dxa"/>
          </w:tcPr>
          <w:p w:rsidR="006F6859" w:rsidRDefault="006F6859" w:rsidP="00601BBC">
            <w:pPr>
              <w:pStyle w:val="ListParagraph"/>
              <w:numPr>
                <w:ilvl w:val="0"/>
                <w:numId w:val="4"/>
              </w:numPr>
            </w:pPr>
            <w:r>
              <w:t>EH tactics 4 and 5 throughout</w:t>
            </w:r>
          </w:p>
        </w:tc>
        <w:tc>
          <w:tcPr>
            <w:tcW w:w="1864" w:type="dxa"/>
          </w:tcPr>
          <w:p w:rsidR="006F6859" w:rsidRDefault="006F6859" w:rsidP="000C26B2">
            <w:r>
              <w:t>code review</w:t>
            </w:r>
          </w:p>
          <w:p w:rsidR="00E731D8" w:rsidRDefault="00E731D8" w:rsidP="007E7F7F">
            <w:r>
              <w:t xml:space="preserve">UI </w:t>
            </w:r>
            <w:r w:rsidR="007E7F7F">
              <w:t>testing</w:t>
            </w:r>
          </w:p>
        </w:tc>
        <w:tc>
          <w:tcPr>
            <w:tcW w:w="1840" w:type="dxa"/>
          </w:tcPr>
          <w:p w:rsidR="006F6859" w:rsidRDefault="004906E0" w:rsidP="000C26B2">
            <w:r>
              <w:t>opportunistic</w:t>
            </w:r>
          </w:p>
        </w:tc>
        <w:tc>
          <w:tcPr>
            <w:tcW w:w="1840" w:type="dxa"/>
          </w:tcPr>
          <w:p w:rsidR="006F6859" w:rsidRDefault="004906E0" w:rsidP="000C26B2">
            <w:r>
              <w:t>PI4</w:t>
            </w:r>
          </w:p>
        </w:tc>
      </w:tr>
      <w:tr w:rsidR="006F6859" w:rsidTr="006F6859">
        <w:tc>
          <w:tcPr>
            <w:tcW w:w="1007" w:type="dxa"/>
          </w:tcPr>
          <w:p w:rsidR="006F6859" w:rsidRDefault="006F6859">
            <w:r>
              <w:t>CM Step 2</w:t>
            </w:r>
          </w:p>
        </w:tc>
        <w:tc>
          <w:tcPr>
            <w:tcW w:w="3986" w:type="dxa"/>
          </w:tcPr>
          <w:p w:rsidR="006F6859" w:rsidRDefault="006F6859" w:rsidP="00685CB6">
            <w:pPr>
              <w:pStyle w:val="ListParagraph"/>
              <w:numPr>
                <w:ilvl w:val="0"/>
                <w:numId w:val="20"/>
              </w:numPr>
            </w:pPr>
            <w:r>
              <w:t>Present default values.</w:t>
            </w:r>
          </w:p>
          <w:p w:rsidR="006F6859" w:rsidRDefault="006F6859" w:rsidP="00685CB6">
            <w:pPr>
              <w:pStyle w:val="ListParagraph"/>
              <w:numPr>
                <w:ilvl w:val="0"/>
                <w:numId w:val="20"/>
              </w:numPr>
            </w:pPr>
            <w:r>
              <w:t>Enforce security.</w:t>
            </w:r>
          </w:p>
          <w:p w:rsidR="006F6859" w:rsidRDefault="006F6859" w:rsidP="00685CB6">
            <w:pPr>
              <w:pStyle w:val="ListParagraph"/>
              <w:numPr>
                <w:ilvl w:val="0"/>
                <w:numId w:val="20"/>
              </w:numPr>
            </w:pPr>
            <w:r>
              <w:t>Validate input format.</w:t>
            </w:r>
          </w:p>
          <w:p w:rsidR="006F6859" w:rsidRDefault="006F6859" w:rsidP="00E74EB6">
            <w:pPr>
              <w:pStyle w:val="ListParagraph"/>
              <w:numPr>
                <w:ilvl w:val="0"/>
                <w:numId w:val="20"/>
              </w:numPr>
            </w:pPr>
            <w:r>
              <w:t xml:space="preserve">Validate input semantics, e.g. bounds, allowed values, and column types. </w:t>
            </w:r>
          </w:p>
        </w:tc>
        <w:tc>
          <w:tcPr>
            <w:tcW w:w="2413" w:type="dxa"/>
          </w:tcPr>
          <w:p w:rsidR="006F6859" w:rsidRDefault="006F6859" w:rsidP="00601BBC">
            <w:pPr>
              <w:pStyle w:val="ListParagraph"/>
              <w:numPr>
                <w:ilvl w:val="0"/>
                <w:numId w:val="4"/>
              </w:numPr>
            </w:pPr>
            <w:r>
              <w:t>EH tactic 1 throughout</w:t>
            </w:r>
          </w:p>
        </w:tc>
        <w:tc>
          <w:tcPr>
            <w:tcW w:w="1864" w:type="dxa"/>
          </w:tcPr>
          <w:p w:rsidR="006F6859" w:rsidRDefault="006F6859" w:rsidP="000C26B2">
            <w:r>
              <w:t>design review</w:t>
            </w:r>
          </w:p>
          <w:p w:rsidR="006F6859" w:rsidRDefault="006F6859" w:rsidP="000C26B2">
            <w:r>
              <w:t>code review</w:t>
            </w:r>
          </w:p>
          <w:p w:rsidR="006F6859" w:rsidRDefault="006F6859" w:rsidP="000C26B2">
            <w:r>
              <w:t>unit testing</w:t>
            </w:r>
          </w:p>
          <w:p w:rsidR="006F6859" w:rsidRDefault="006F6859" w:rsidP="000C26B2">
            <w:r>
              <w:t>functional testing</w:t>
            </w:r>
          </w:p>
          <w:p w:rsidR="006F6859" w:rsidRDefault="006F6859" w:rsidP="000C26B2">
            <w:r>
              <w:t>UI testing</w:t>
            </w:r>
          </w:p>
        </w:tc>
        <w:tc>
          <w:tcPr>
            <w:tcW w:w="1840" w:type="dxa"/>
          </w:tcPr>
          <w:p w:rsidR="006F6859" w:rsidRDefault="00012249" w:rsidP="000C26B2">
            <w:r>
              <w:t>comprehensive</w:t>
            </w:r>
          </w:p>
        </w:tc>
        <w:tc>
          <w:tcPr>
            <w:tcW w:w="1840" w:type="dxa"/>
          </w:tcPr>
          <w:p w:rsidR="006F6859" w:rsidRDefault="00012249" w:rsidP="000C26B2">
            <w:r>
              <w:t>PI4</w:t>
            </w:r>
          </w:p>
        </w:tc>
      </w:tr>
      <w:tr w:rsidR="006F6859" w:rsidTr="006F6859">
        <w:tc>
          <w:tcPr>
            <w:tcW w:w="1007" w:type="dxa"/>
          </w:tcPr>
          <w:p w:rsidR="006F6859" w:rsidRDefault="006F6859">
            <w:r>
              <w:t>CM Step 3</w:t>
            </w:r>
          </w:p>
        </w:tc>
        <w:tc>
          <w:tcPr>
            <w:tcW w:w="3986" w:type="dxa"/>
          </w:tcPr>
          <w:p w:rsidR="006F6859" w:rsidRDefault="006F6859" w:rsidP="00BE7185">
            <w:pPr>
              <w:pStyle w:val="ListParagraph"/>
              <w:numPr>
                <w:ilvl w:val="0"/>
                <w:numId w:val="5"/>
              </w:numPr>
            </w:pPr>
            <w:r>
              <w:t>Apply CM tactic 3 throughout.</w:t>
            </w:r>
          </w:p>
        </w:tc>
        <w:tc>
          <w:tcPr>
            <w:tcW w:w="2413" w:type="dxa"/>
          </w:tcPr>
          <w:p w:rsidR="006F6859" w:rsidRDefault="006F6859" w:rsidP="001263C5">
            <w:pPr>
              <w:pStyle w:val="ListParagraph"/>
              <w:numPr>
                <w:ilvl w:val="0"/>
                <w:numId w:val="6"/>
              </w:numPr>
            </w:pPr>
            <w:r>
              <w:t>EH tactic 1 throughout</w:t>
            </w:r>
          </w:p>
        </w:tc>
        <w:tc>
          <w:tcPr>
            <w:tcW w:w="1864" w:type="dxa"/>
          </w:tcPr>
          <w:p w:rsidR="006F6859" w:rsidRDefault="006F6859" w:rsidP="000C26B2">
            <w:r>
              <w:t>unit testing</w:t>
            </w:r>
          </w:p>
          <w:p w:rsidR="006F6859" w:rsidRDefault="006F6859" w:rsidP="000C26B2">
            <w:r>
              <w:t>functional testing</w:t>
            </w:r>
          </w:p>
          <w:p w:rsidR="006F6859" w:rsidRDefault="006F6859" w:rsidP="000C26B2">
            <w:r>
              <w:t>UI testing</w:t>
            </w:r>
          </w:p>
        </w:tc>
        <w:tc>
          <w:tcPr>
            <w:tcW w:w="1840" w:type="dxa"/>
          </w:tcPr>
          <w:p w:rsidR="006F6859" w:rsidRDefault="006026EA" w:rsidP="000C26B2">
            <w:r>
              <w:t>selective plus opportunistic</w:t>
            </w:r>
          </w:p>
        </w:tc>
        <w:tc>
          <w:tcPr>
            <w:tcW w:w="1840" w:type="dxa"/>
          </w:tcPr>
          <w:p w:rsidR="006026EA" w:rsidRDefault="006026EA" w:rsidP="000C26B2">
            <w:r>
              <w:t>PI4</w:t>
            </w:r>
          </w:p>
        </w:tc>
      </w:tr>
      <w:tr w:rsidR="009455DB" w:rsidTr="00E557D1">
        <w:trPr>
          <w:cantSplit/>
        </w:trPr>
        <w:tc>
          <w:tcPr>
            <w:tcW w:w="1007" w:type="dxa"/>
          </w:tcPr>
          <w:p w:rsidR="009455DB" w:rsidRDefault="009455DB" w:rsidP="009455DB">
            <w:r>
              <w:t>CM Step 4</w:t>
            </w:r>
          </w:p>
        </w:tc>
        <w:tc>
          <w:tcPr>
            <w:tcW w:w="3986" w:type="dxa"/>
          </w:tcPr>
          <w:p w:rsidR="009455DB" w:rsidRDefault="009455DB" w:rsidP="009455DB">
            <w:pPr>
              <w:pStyle w:val="ListParagraph"/>
              <w:numPr>
                <w:ilvl w:val="0"/>
                <w:numId w:val="8"/>
              </w:numPr>
            </w:pPr>
            <w:r>
              <w:t xml:space="preserve">Validate metadata data types and apply CM tactic 3. 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8"/>
              </w:numPr>
            </w:pPr>
            <w:r>
              <w:t>Bounds-check p and apply CM tactic 6 or 7.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8"/>
              </w:numPr>
            </w:pPr>
            <w:r>
              <w:t>Validate data types and apply CM tactic 5 or 7.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8"/>
              </w:numPr>
            </w:pPr>
            <w:r>
              <w:t>If the analytical algorithm does not handle nulls, apply CM tactic 7 by offering to impute some sort of central value.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8"/>
              </w:numPr>
            </w:pPr>
            <w:r>
              <w:t>If n becomes excessive (in a context-specific sense), apply CM tactic 5 or 6.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8"/>
              </w:numPr>
            </w:pPr>
            <w:r>
              <w:t>Check that the dependent variable is not listed among the independent variables, and apply CM tactic 6, 7, or 8.</w:t>
            </w:r>
          </w:p>
        </w:tc>
        <w:tc>
          <w:tcPr>
            <w:tcW w:w="2413" w:type="dxa"/>
          </w:tcPr>
          <w:p w:rsidR="009455DB" w:rsidRDefault="009455DB" w:rsidP="009455DB">
            <w:pPr>
              <w:pStyle w:val="ListParagraph"/>
              <w:numPr>
                <w:ilvl w:val="0"/>
                <w:numId w:val="10"/>
              </w:numPr>
            </w:pPr>
            <w:r>
              <w:t>EH tactics 1-2 throughout</w:t>
            </w:r>
          </w:p>
        </w:tc>
        <w:tc>
          <w:tcPr>
            <w:tcW w:w="1864" w:type="dxa"/>
          </w:tcPr>
          <w:p w:rsidR="009455DB" w:rsidRDefault="009455DB" w:rsidP="009455DB">
            <w:r>
              <w:t>unit testing</w:t>
            </w:r>
          </w:p>
          <w:p w:rsidR="009455DB" w:rsidRDefault="009455DB" w:rsidP="009455DB">
            <w:r>
              <w:t>functional testing</w:t>
            </w:r>
          </w:p>
          <w:p w:rsidR="009455DB" w:rsidRDefault="009455DB" w:rsidP="009455DB">
            <w:r>
              <w:t>UI testing</w:t>
            </w:r>
          </w:p>
        </w:tc>
        <w:tc>
          <w:tcPr>
            <w:tcW w:w="1840" w:type="dxa"/>
          </w:tcPr>
          <w:p w:rsidR="009455DB" w:rsidRDefault="006026EA" w:rsidP="009455DB">
            <w:r>
              <w:t>selective plus opportunistic</w:t>
            </w:r>
          </w:p>
        </w:tc>
        <w:tc>
          <w:tcPr>
            <w:tcW w:w="1840" w:type="dxa"/>
          </w:tcPr>
          <w:p w:rsidR="009455DB" w:rsidRDefault="006026EA" w:rsidP="009455DB">
            <w:r>
              <w:t>PI4</w:t>
            </w:r>
          </w:p>
        </w:tc>
      </w:tr>
      <w:tr w:rsidR="009455DB" w:rsidTr="006026EA">
        <w:trPr>
          <w:cantSplit/>
        </w:trPr>
        <w:tc>
          <w:tcPr>
            <w:tcW w:w="1007" w:type="dxa"/>
          </w:tcPr>
          <w:p w:rsidR="009455DB" w:rsidRDefault="009455DB" w:rsidP="009455DB">
            <w:r>
              <w:lastRenderedPageBreak/>
              <w:t>CM Step 5</w:t>
            </w:r>
          </w:p>
        </w:tc>
        <w:tc>
          <w:tcPr>
            <w:tcW w:w="3986" w:type="dxa"/>
          </w:tcPr>
          <w:p w:rsidR="009455DB" w:rsidRDefault="009455DB" w:rsidP="009455DB">
            <w:pPr>
              <w:pStyle w:val="ListParagraph"/>
              <w:numPr>
                <w:ilvl w:val="0"/>
                <w:numId w:val="11"/>
              </w:numPr>
            </w:pPr>
            <w:r>
              <w:t>Check that values are within a transformation’s domain and apply CM tactic 2 or 3, and optionally tactic 9.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1"/>
              </w:numPr>
            </w:pPr>
            <w:r>
              <w:t>Otherwise, assume that BI-style transformations have occurred prior to data arrival, and apply CM tactic 4 or 5.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1"/>
              </w:numPr>
            </w:pPr>
            <w:r>
              <w:t>Communicate data-quality metrics as both data and visualizations to all classes of end user.</w:t>
            </w:r>
          </w:p>
        </w:tc>
        <w:tc>
          <w:tcPr>
            <w:tcW w:w="2413" w:type="dxa"/>
          </w:tcPr>
          <w:p w:rsidR="009455DB" w:rsidRDefault="009455DB" w:rsidP="009455DB">
            <w:pPr>
              <w:pStyle w:val="ListParagraph"/>
              <w:numPr>
                <w:ilvl w:val="0"/>
                <w:numId w:val="12"/>
              </w:numPr>
            </w:pPr>
            <w:r>
              <w:t>EH tactics 2-3 throughout</w:t>
            </w:r>
          </w:p>
        </w:tc>
        <w:tc>
          <w:tcPr>
            <w:tcW w:w="1864" w:type="dxa"/>
          </w:tcPr>
          <w:p w:rsidR="009455DB" w:rsidRDefault="009455DB" w:rsidP="009455DB">
            <w:r>
              <w:t>unit testing</w:t>
            </w:r>
          </w:p>
          <w:p w:rsidR="009455DB" w:rsidRDefault="009455DB" w:rsidP="009455DB">
            <w:r>
              <w:t>functional testing</w:t>
            </w:r>
          </w:p>
          <w:p w:rsidR="009455DB" w:rsidRDefault="009455DB" w:rsidP="009455DB">
            <w:r>
              <w:t>UI testing</w:t>
            </w:r>
          </w:p>
        </w:tc>
        <w:tc>
          <w:tcPr>
            <w:tcW w:w="1840" w:type="dxa"/>
          </w:tcPr>
          <w:p w:rsidR="009455DB" w:rsidRDefault="006026EA" w:rsidP="009455DB">
            <w:r>
              <w:t>selective plus opportunistic</w:t>
            </w:r>
          </w:p>
        </w:tc>
        <w:tc>
          <w:tcPr>
            <w:tcW w:w="1840" w:type="dxa"/>
          </w:tcPr>
          <w:p w:rsidR="009455DB" w:rsidRDefault="006026EA" w:rsidP="009455DB">
            <w:r>
              <w:t>PI4</w:t>
            </w:r>
          </w:p>
        </w:tc>
      </w:tr>
      <w:tr w:rsidR="009455DB" w:rsidTr="00E557D1">
        <w:trPr>
          <w:cantSplit/>
        </w:trPr>
        <w:tc>
          <w:tcPr>
            <w:tcW w:w="1007" w:type="dxa"/>
          </w:tcPr>
          <w:p w:rsidR="009455DB" w:rsidRDefault="009455DB" w:rsidP="009455DB">
            <w:r>
              <w:t>CM Step 6</w:t>
            </w:r>
          </w:p>
        </w:tc>
        <w:tc>
          <w:tcPr>
            <w:tcW w:w="3986" w:type="dxa"/>
          </w:tcPr>
          <w:p w:rsidR="009455DB" w:rsidRDefault="009455DB" w:rsidP="009455DB"/>
        </w:tc>
        <w:tc>
          <w:tcPr>
            <w:tcW w:w="2413" w:type="dxa"/>
          </w:tcPr>
          <w:p w:rsidR="009455DB" w:rsidRDefault="009455DB" w:rsidP="009455DB">
            <w:pPr>
              <w:pStyle w:val="ListParagraph"/>
              <w:numPr>
                <w:ilvl w:val="0"/>
                <w:numId w:val="14"/>
              </w:numPr>
            </w:pPr>
            <w:r>
              <w:t>Abort fitting if fitting execution time exceeds a configurable threshold, and apply CM tactic 5.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4"/>
              </w:numPr>
            </w:pPr>
            <w:r>
              <w:t>Simply apply CM tactic 5 for all other fitting-algorithm errors.</w:t>
            </w:r>
          </w:p>
          <w:p w:rsidR="009455DB" w:rsidRDefault="009455DB" w:rsidP="009455DB"/>
        </w:tc>
        <w:tc>
          <w:tcPr>
            <w:tcW w:w="1864" w:type="dxa"/>
          </w:tcPr>
          <w:p w:rsidR="009455DB" w:rsidRDefault="00046C87" w:rsidP="00046C87">
            <w:r>
              <w:t>functional testing</w:t>
            </w:r>
          </w:p>
          <w:p w:rsidR="00046C87" w:rsidRDefault="00046C87" w:rsidP="00046C87">
            <w:r>
              <w:t>UI testing</w:t>
            </w:r>
          </w:p>
        </w:tc>
        <w:tc>
          <w:tcPr>
            <w:tcW w:w="1840" w:type="dxa"/>
          </w:tcPr>
          <w:p w:rsidR="009455DB" w:rsidRDefault="006026EA" w:rsidP="009455DB">
            <w:r>
              <w:t>comprehensive</w:t>
            </w:r>
          </w:p>
        </w:tc>
        <w:tc>
          <w:tcPr>
            <w:tcW w:w="1840" w:type="dxa"/>
          </w:tcPr>
          <w:p w:rsidR="009455DB" w:rsidRDefault="006026EA" w:rsidP="009455DB">
            <w:r>
              <w:t>PI5</w:t>
            </w:r>
          </w:p>
        </w:tc>
      </w:tr>
      <w:tr w:rsidR="009455DB" w:rsidTr="006026EA">
        <w:trPr>
          <w:cantSplit/>
        </w:trPr>
        <w:tc>
          <w:tcPr>
            <w:tcW w:w="1007" w:type="dxa"/>
          </w:tcPr>
          <w:p w:rsidR="009455DB" w:rsidRDefault="009455DB" w:rsidP="009455DB">
            <w:r>
              <w:lastRenderedPageBreak/>
              <w:t>CM Step 7</w:t>
            </w:r>
          </w:p>
        </w:tc>
        <w:tc>
          <w:tcPr>
            <w:tcW w:w="3986" w:type="dxa"/>
          </w:tcPr>
          <w:p w:rsidR="009455DB" w:rsidRDefault="009455DB" w:rsidP="009455DB">
            <w:pPr>
              <w:pStyle w:val="ListParagraph"/>
              <w:numPr>
                <w:ilvl w:val="0"/>
                <w:numId w:val="15"/>
              </w:numPr>
            </w:pPr>
            <w:r>
              <w:t xml:space="preserve">Display any available variable-importance/selection results in descending order of variable importance/inclusion.  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5"/>
              </w:numPr>
            </w:pPr>
            <w:r>
              <w:t>Only display variable-importance metrics to expert users.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5"/>
              </w:numPr>
            </w:pPr>
            <w:r>
              <w:t>For expert u</w:t>
            </w:r>
            <w:r w:rsidR="00B92358">
              <w:t>s</w:t>
            </w:r>
            <w:r>
              <w:t>ers, display standard visualizations depicting common model-fitness metrics.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5"/>
              </w:numPr>
            </w:pPr>
            <w:r>
              <w:t>For non-expert users, summarize model quality with heuristic visualizations.</w:t>
            </w:r>
          </w:p>
          <w:p w:rsidR="009455DB" w:rsidRDefault="009455DB" w:rsidP="009455DB">
            <w:pPr>
              <w:pStyle w:val="ListParagraph"/>
              <w:numPr>
                <w:ilvl w:val="0"/>
                <w:numId w:val="15"/>
              </w:numPr>
            </w:pPr>
            <w:r>
              <w:t>For tools performing model aggregation or selection, only communicate these results to expert users.  For non-expert users, simply communicate the fact that model aggregation/selection has occurred.</w:t>
            </w:r>
          </w:p>
        </w:tc>
        <w:tc>
          <w:tcPr>
            <w:tcW w:w="2413" w:type="dxa"/>
          </w:tcPr>
          <w:p w:rsidR="009455DB" w:rsidRDefault="009455DB" w:rsidP="009455DB">
            <w:pPr>
              <w:pStyle w:val="ListParagraph"/>
              <w:numPr>
                <w:ilvl w:val="0"/>
                <w:numId w:val="16"/>
              </w:numPr>
            </w:pPr>
            <w:r>
              <w:t>Adhere to Alteryx UI-design standards regarding failure to render a visualization.</w:t>
            </w:r>
          </w:p>
        </w:tc>
        <w:tc>
          <w:tcPr>
            <w:tcW w:w="1864" w:type="dxa"/>
          </w:tcPr>
          <w:p w:rsidR="009455DB" w:rsidRDefault="009455DB" w:rsidP="009455DB">
            <w:r>
              <w:t>design review</w:t>
            </w:r>
          </w:p>
          <w:p w:rsidR="009455DB" w:rsidRDefault="009455DB" w:rsidP="009455DB">
            <w:r>
              <w:t>code review</w:t>
            </w:r>
          </w:p>
          <w:p w:rsidR="009455DB" w:rsidRDefault="009455DB" w:rsidP="009455DB">
            <w:r>
              <w:t>UI testing</w:t>
            </w:r>
          </w:p>
        </w:tc>
        <w:tc>
          <w:tcPr>
            <w:tcW w:w="1840" w:type="dxa"/>
          </w:tcPr>
          <w:p w:rsidR="009455DB" w:rsidRDefault="008B17F7" w:rsidP="009455DB">
            <w:r>
              <w:t>1-4,</w:t>
            </w:r>
            <w:r w:rsidR="00803D0B">
              <w:t xml:space="preserve"> selective (declarative R) plus opportunistic;</w:t>
            </w:r>
          </w:p>
          <w:p w:rsidR="00803D0B" w:rsidRDefault="008B17F7" w:rsidP="009455DB">
            <w:r>
              <w:t>5,</w:t>
            </w:r>
            <w:r w:rsidR="00803D0B">
              <w:t xml:space="preserve"> aspirational</w:t>
            </w:r>
          </w:p>
        </w:tc>
        <w:tc>
          <w:tcPr>
            <w:tcW w:w="1840" w:type="dxa"/>
          </w:tcPr>
          <w:p w:rsidR="009455DB" w:rsidRDefault="00803D0B" w:rsidP="009455DB">
            <w:r>
              <w:t>PI4</w:t>
            </w:r>
          </w:p>
        </w:tc>
      </w:tr>
      <w:tr w:rsidR="009455DB" w:rsidTr="006F6859">
        <w:tc>
          <w:tcPr>
            <w:tcW w:w="1007" w:type="dxa"/>
          </w:tcPr>
          <w:p w:rsidR="009455DB" w:rsidRDefault="009455DB" w:rsidP="009455DB">
            <w:r>
              <w:t>CM Step 8</w:t>
            </w:r>
          </w:p>
        </w:tc>
        <w:tc>
          <w:tcPr>
            <w:tcW w:w="3986" w:type="dxa"/>
          </w:tcPr>
          <w:p w:rsidR="009455DB" w:rsidRDefault="009455DB" w:rsidP="009455DB"/>
        </w:tc>
        <w:tc>
          <w:tcPr>
            <w:tcW w:w="2413" w:type="dxa"/>
          </w:tcPr>
          <w:p w:rsidR="009455DB" w:rsidRDefault="000732E4" w:rsidP="009455DB">
            <w:pPr>
              <w:pStyle w:val="ListParagraph"/>
              <w:numPr>
                <w:ilvl w:val="0"/>
                <w:numId w:val="17"/>
              </w:numPr>
            </w:pPr>
            <w:r>
              <w:t>Apply EM tactic 1</w:t>
            </w:r>
            <w:r w:rsidR="009455DB">
              <w:t xml:space="preserve"> throughout.</w:t>
            </w:r>
          </w:p>
        </w:tc>
        <w:tc>
          <w:tcPr>
            <w:tcW w:w="1864" w:type="dxa"/>
          </w:tcPr>
          <w:p w:rsidR="009455DB" w:rsidRDefault="009455DB" w:rsidP="009455DB">
            <w:r>
              <w:t>unit testing</w:t>
            </w:r>
          </w:p>
          <w:p w:rsidR="009455DB" w:rsidRDefault="009455DB" w:rsidP="009455DB">
            <w:r>
              <w:t>functional testing</w:t>
            </w:r>
          </w:p>
          <w:p w:rsidR="009455DB" w:rsidRDefault="009455DB" w:rsidP="009455DB">
            <w:r>
              <w:t>UI testing</w:t>
            </w:r>
          </w:p>
        </w:tc>
        <w:tc>
          <w:tcPr>
            <w:tcW w:w="1840" w:type="dxa"/>
          </w:tcPr>
          <w:p w:rsidR="009455DB" w:rsidRDefault="006026EA" w:rsidP="009455DB">
            <w:r>
              <w:t>selective plus opportunistic</w:t>
            </w:r>
          </w:p>
        </w:tc>
        <w:tc>
          <w:tcPr>
            <w:tcW w:w="1840" w:type="dxa"/>
          </w:tcPr>
          <w:p w:rsidR="009455DB" w:rsidRDefault="006026EA" w:rsidP="009455DB">
            <w:r>
              <w:t>PI4</w:t>
            </w:r>
          </w:p>
        </w:tc>
      </w:tr>
      <w:tr w:rsidR="009455DB" w:rsidTr="00E557D1">
        <w:trPr>
          <w:cantSplit/>
        </w:trPr>
        <w:tc>
          <w:tcPr>
            <w:tcW w:w="1007" w:type="dxa"/>
          </w:tcPr>
          <w:p w:rsidR="009455DB" w:rsidRDefault="009455DB" w:rsidP="009455DB">
            <w:r>
              <w:t>CM Step 9</w:t>
            </w:r>
          </w:p>
        </w:tc>
        <w:tc>
          <w:tcPr>
            <w:tcW w:w="3986" w:type="dxa"/>
          </w:tcPr>
          <w:p w:rsidR="009455DB" w:rsidRDefault="009455DB" w:rsidP="009455DB"/>
        </w:tc>
        <w:tc>
          <w:tcPr>
            <w:tcW w:w="2413" w:type="dxa"/>
          </w:tcPr>
          <w:p w:rsidR="009455DB" w:rsidRDefault="009455DB" w:rsidP="009455DB">
            <w:pPr>
              <w:pStyle w:val="ListParagraph"/>
              <w:numPr>
                <w:ilvl w:val="0"/>
                <w:numId w:val="18"/>
              </w:numPr>
            </w:pPr>
            <w:r>
              <w:t>Apply EM</w:t>
            </w:r>
            <w:r w:rsidR="000732E4">
              <w:t xml:space="preserve"> tactic 1</w:t>
            </w:r>
            <w:r>
              <w:t xml:space="preserve"> throughout.</w:t>
            </w:r>
          </w:p>
        </w:tc>
        <w:tc>
          <w:tcPr>
            <w:tcW w:w="1864" w:type="dxa"/>
          </w:tcPr>
          <w:p w:rsidR="009455DB" w:rsidRDefault="009455DB" w:rsidP="009455DB">
            <w:r>
              <w:t>unit testing</w:t>
            </w:r>
          </w:p>
          <w:p w:rsidR="009455DB" w:rsidRDefault="009455DB" w:rsidP="009455DB">
            <w:r>
              <w:t>functional testing</w:t>
            </w:r>
          </w:p>
          <w:p w:rsidR="009455DB" w:rsidRDefault="009455DB" w:rsidP="009455DB">
            <w:r>
              <w:t>UI testing</w:t>
            </w:r>
          </w:p>
        </w:tc>
        <w:tc>
          <w:tcPr>
            <w:tcW w:w="1840" w:type="dxa"/>
          </w:tcPr>
          <w:p w:rsidR="009455DB" w:rsidRDefault="006026EA" w:rsidP="009455DB">
            <w:r>
              <w:t>selective plus opportunistic</w:t>
            </w:r>
          </w:p>
        </w:tc>
        <w:tc>
          <w:tcPr>
            <w:tcW w:w="1840" w:type="dxa"/>
          </w:tcPr>
          <w:p w:rsidR="009455DB" w:rsidRDefault="006026EA" w:rsidP="009455DB">
            <w:r>
              <w:t>PI4</w:t>
            </w:r>
          </w:p>
        </w:tc>
      </w:tr>
      <w:tr w:rsidR="009455DB" w:rsidTr="006F6859">
        <w:tc>
          <w:tcPr>
            <w:tcW w:w="1007" w:type="dxa"/>
          </w:tcPr>
          <w:p w:rsidR="009455DB" w:rsidRDefault="009455DB" w:rsidP="009455DB">
            <w:r>
              <w:t>CM Step 10</w:t>
            </w:r>
          </w:p>
        </w:tc>
        <w:tc>
          <w:tcPr>
            <w:tcW w:w="3986" w:type="dxa"/>
          </w:tcPr>
          <w:p w:rsidR="009455DB" w:rsidRDefault="009455DB" w:rsidP="009455DB"/>
        </w:tc>
        <w:tc>
          <w:tcPr>
            <w:tcW w:w="2413" w:type="dxa"/>
          </w:tcPr>
          <w:p w:rsidR="009455DB" w:rsidRDefault="000732E4" w:rsidP="009455DB">
            <w:pPr>
              <w:pStyle w:val="ListParagraph"/>
              <w:numPr>
                <w:ilvl w:val="0"/>
                <w:numId w:val="19"/>
              </w:numPr>
            </w:pPr>
            <w:r>
              <w:t>Apply EM tactic 1</w:t>
            </w:r>
            <w:r w:rsidR="009455DB">
              <w:t xml:space="preserve"> throughout.</w:t>
            </w:r>
          </w:p>
        </w:tc>
        <w:tc>
          <w:tcPr>
            <w:tcW w:w="1864" w:type="dxa"/>
          </w:tcPr>
          <w:p w:rsidR="009455DB" w:rsidRDefault="009455DB" w:rsidP="009455DB">
            <w:r>
              <w:t>unit testing</w:t>
            </w:r>
          </w:p>
          <w:p w:rsidR="009455DB" w:rsidRDefault="009455DB" w:rsidP="009455DB">
            <w:r>
              <w:t>functional testing</w:t>
            </w:r>
          </w:p>
          <w:p w:rsidR="009455DB" w:rsidRDefault="009455DB" w:rsidP="009455DB">
            <w:r>
              <w:t>UI testing</w:t>
            </w:r>
          </w:p>
        </w:tc>
        <w:tc>
          <w:tcPr>
            <w:tcW w:w="1840" w:type="dxa"/>
          </w:tcPr>
          <w:p w:rsidR="009455DB" w:rsidRDefault="006026EA" w:rsidP="009455DB">
            <w:r>
              <w:t>selective plus opportunistic</w:t>
            </w:r>
          </w:p>
        </w:tc>
        <w:tc>
          <w:tcPr>
            <w:tcW w:w="1840" w:type="dxa"/>
          </w:tcPr>
          <w:p w:rsidR="009455DB" w:rsidRDefault="006026EA" w:rsidP="009455DB">
            <w:r>
              <w:t>PI4</w:t>
            </w:r>
          </w:p>
        </w:tc>
      </w:tr>
    </w:tbl>
    <w:p w:rsidR="000D65E4" w:rsidRDefault="000D65E4"/>
    <w:sectPr w:rsidR="000D65E4" w:rsidSect="00C32417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245" w:rsidRDefault="00417245" w:rsidP="000A12E2">
      <w:pPr>
        <w:spacing w:after="0"/>
      </w:pPr>
      <w:r>
        <w:separator/>
      </w:r>
    </w:p>
  </w:endnote>
  <w:endnote w:type="continuationSeparator" w:id="0">
    <w:p w:rsidR="00417245" w:rsidRDefault="00417245" w:rsidP="000A12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0774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12E2" w:rsidRDefault="000A12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72B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A12E2" w:rsidRDefault="000A12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245" w:rsidRDefault="00417245" w:rsidP="000A12E2">
      <w:pPr>
        <w:spacing w:after="0"/>
      </w:pPr>
      <w:r>
        <w:separator/>
      </w:r>
    </w:p>
  </w:footnote>
  <w:footnote w:type="continuationSeparator" w:id="0">
    <w:p w:rsidR="00417245" w:rsidRDefault="00417245" w:rsidP="000A12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6DF6"/>
    <w:multiLevelType w:val="hybridMultilevel"/>
    <w:tmpl w:val="20C4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0CF"/>
    <w:multiLevelType w:val="hybridMultilevel"/>
    <w:tmpl w:val="C1462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1D56F4"/>
    <w:multiLevelType w:val="hybridMultilevel"/>
    <w:tmpl w:val="45181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B4CBC"/>
    <w:multiLevelType w:val="hybridMultilevel"/>
    <w:tmpl w:val="20C44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940C7"/>
    <w:multiLevelType w:val="hybridMultilevel"/>
    <w:tmpl w:val="CCFEB1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84F3F5F"/>
    <w:multiLevelType w:val="hybridMultilevel"/>
    <w:tmpl w:val="F62A3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981A2C"/>
    <w:multiLevelType w:val="hybridMultilevel"/>
    <w:tmpl w:val="525AE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3344DE"/>
    <w:multiLevelType w:val="hybridMultilevel"/>
    <w:tmpl w:val="525AE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F581E25"/>
    <w:multiLevelType w:val="hybridMultilevel"/>
    <w:tmpl w:val="CBC49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046DD"/>
    <w:multiLevelType w:val="hybridMultilevel"/>
    <w:tmpl w:val="525AE1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131D1B"/>
    <w:multiLevelType w:val="hybridMultilevel"/>
    <w:tmpl w:val="F62A3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F53CD4"/>
    <w:multiLevelType w:val="hybridMultilevel"/>
    <w:tmpl w:val="3C4C8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785E44"/>
    <w:multiLevelType w:val="hybridMultilevel"/>
    <w:tmpl w:val="709233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E5087E"/>
    <w:multiLevelType w:val="hybridMultilevel"/>
    <w:tmpl w:val="B464F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9E17AC"/>
    <w:multiLevelType w:val="hybridMultilevel"/>
    <w:tmpl w:val="EE3AE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B3EBF"/>
    <w:multiLevelType w:val="hybridMultilevel"/>
    <w:tmpl w:val="4C76B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9D5FBC"/>
    <w:multiLevelType w:val="hybridMultilevel"/>
    <w:tmpl w:val="F940B0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4F67E6"/>
    <w:multiLevelType w:val="hybridMultilevel"/>
    <w:tmpl w:val="3C4C8B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55B219D"/>
    <w:multiLevelType w:val="hybridMultilevel"/>
    <w:tmpl w:val="6ECE70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467E88"/>
    <w:multiLevelType w:val="hybridMultilevel"/>
    <w:tmpl w:val="AA04C7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BD7EBB"/>
    <w:multiLevelType w:val="hybridMultilevel"/>
    <w:tmpl w:val="F62A38C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3"/>
  </w:num>
  <w:num w:numId="3">
    <w:abstractNumId w:val="7"/>
  </w:num>
  <w:num w:numId="4">
    <w:abstractNumId w:val="6"/>
  </w:num>
  <w:num w:numId="5">
    <w:abstractNumId w:val="16"/>
  </w:num>
  <w:num w:numId="6">
    <w:abstractNumId w:val="2"/>
  </w:num>
  <w:num w:numId="7">
    <w:abstractNumId w:val="14"/>
  </w:num>
  <w:num w:numId="8">
    <w:abstractNumId w:val="19"/>
  </w:num>
  <w:num w:numId="9">
    <w:abstractNumId w:val="0"/>
  </w:num>
  <w:num w:numId="10">
    <w:abstractNumId w:val="1"/>
  </w:num>
  <w:num w:numId="11">
    <w:abstractNumId w:val="4"/>
  </w:num>
  <w:num w:numId="12">
    <w:abstractNumId w:val="18"/>
  </w:num>
  <w:num w:numId="13">
    <w:abstractNumId w:val="5"/>
  </w:num>
  <w:num w:numId="14">
    <w:abstractNumId w:val="20"/>
  </w:num>
  <w:num w:numId="15">
    <w:abstractNumId w:val="10"/>
  </w:num>
  <w:num w:numId="16">
    <w:abstractNumId w:val="12"/>
  </w:num>
  <w:num w:numId="17">
    <w:abstractNumId w:val="15"/>
  </w:num>
  <w:num w:numId="18">
    <w:abstractNumId w:val="17"/>
  </w:num>
  <w:num w:numId="19">
    <w:abstractNumId w:val="11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D63"/>
    <w:rsid w:val="00012249"/>
    <w:rsid w:val="00016FF8"/>
    <w:rsid w:val="00035FB8"/>
    <w:rsid w:val="000366AB"/>
    <w:rsid w:val="00046C87"/>
    <w:rsid w:val="00060DA5"/>
    <w:rsid w:val="000732E4"/>
    <w:rsid w:val="00084E47"/>
    <w:rsid w:val="00090781"/>
    <w:rsid w:val="000A12E2"/>
    <w:rsid w:val="000B2B5E"/>
    <w:rsid w:val="000B5442"/>
    <w:rsid w:val="000C26B2"/>
    <w:rsid w:val="000D65E4"/>
    <w:rsid w:val="000F5E75"/>
    <w:rsid w:val="001263C5"/>
    <w:rsid w:val="001E32A3"/>
    <w:rsid w:val="001E41AC"/>
    <w:rsid w:val="001E6DFE"/>
    <w:rsid w:val="001F3E27"/>
    <w:rsid w:val="00283F89"/>
    <w:rsid w:val="002B59FB"/>
    <w:rsid w:val="002C191E"/>
    <w:rsid w:val="00314E0A"/>
    <w:rsid w:val="00321062"/>
    <w:rsid w:val="00333799"/>
    <w:rsid w:val="003649E7"/>
    <w:rsid w:val="003A1B6B"/>
    <w:rsid w:val="003A3C8E"/>
    <w:rsid w:val="003B6DD0"/>
    <w:rsid w:val="003E0B3E"/>
    <w:rsid w:val="003F1EF7"/>
    <w:rsid w:val="003F44CE"/>
    <w:rsid w:val="003F48FA"/>
    <w:rsid w:val="00417245"/>
    <w:rsid w:val="0042219E"/>
    <w:rsid w:val="00473394"/>
    <w:rsid w:val="004906E0"/>
    <w:rsid w:val="004A7B97"/>
    <w:rsid w:val="004B5287"/>
    <w:rsid w:val="004E1135"/>
    <w:rsid w:val="00524C46"/>
    <w:rsid w:val="00527235"/>
    <w:rsid w:val="005404EC"/>
    <w:rsid w:val="00593C67"/>
    <w:rsid w:val="00596D05"/>
    <w:rsid w:val="00597CEE"/>
    <w:rsid w:val="005B230A"/>
    <w:rsid w:val="005E606F"/>
    <w:rsid w:val="005F74ED"/>
    <w:rsid w:val="00601BBC"/>
    <w:rsid w:val="006026EA"/>
    <w:rsid w:val="0062348A"/>
    <w:rsid w:val="00685CB6"/>
    <w:rsid w:val="00693C09"/>
    <w:rsid w:val="00696F0E"/>
    <w:rsid w:val="006C0504"/>
    <w:rsid w:val="006F6859"/>
    <w:rsid w:val="00706200"/>
    <w:rsid w:val="00730B25"/>
    <w:rsid w:val="00784ABA"/>
    <w:rsid w:val="00786D8A"/>
    <w:rsid w:val="007B437F"/>
    <w:rsid w:val="007E7F7F"/>
    <w:rsid w:val="00803D0B"/>
    <w:rsid w:val="008072B6"/>
    <w:rsid w:val="0080754F"/>
    <w:rsid w:val="00863846"/>
    <w:rsid w:val="008B17F7"/>
    <w:rsid w:val="008E4A2A"/>
    <w:rsid w:val="008E548C"/>
    <w:rsid w:val="00926C93"/>
    <w:rsid w:val="009455DB"/>
    <w:rsid w:val="00961941"/>
    <w:rsid w:val="009733A5"/>
    <w:rsid w:val="009832BE"/>
    <w:rsid w:val="00990404"/>
    <w:rsid w:val="009A727F"/>
    <w:rsid w:val="00A40268"/>
    <w:rsid w:val="00A50B57"/>
    <w:rsid w:val="00A6239D"/>
    <w:rsid w:val="00A67D63"/>
    <w:rsid w:val="00AA343A"/>
    <w:rsid w:val="00B74F14"/>
    <w:rsid w:val="00B92358"/>
    <w:rsid w:val="00BA0048"/>
    <w:rsid w:val="00BE67F6"/>
    <w:rsid w:val="00BE7185"/>
    <w:rsid w:val="00C32417"/>
    <w:rsid w:val="00C61D57"/>
    <w:rsid w:val="00CC0839"/>
    <w:rsid w:val="00CE095C"/>
    <w:rsid w:val="00D12D05"/>
    <w:rsid w:val="00D739D9"/>
    <w:rsid w:val="00DB132D"/>
    <w:rsid w:val="00DE1F54"/>
    <w:rsid w:val="00DF747E"/>
    <w:rsid w:val="00E1092E"/>
    <w:rsid w:val="00E557D1"/>
    <w:rsid w:val="00E731D8"/>
    <w:rsid w:val="00E74EB6"/>
    <w:rsid w:val="00E9615A"/>
    <w:rsid w:val="00EA31F6"/>
    <w:rsid w:val="00EE623F"/>
    <w:rsid w:val="00EF155A"/>
    <w:rsid w:val="00EF2405"/>
    <w:rsid w:val="00F25BC5"/>
    <w:rsid w:val="00F5515F"/>
    <w:rsid w:val="00F76E34"/>
    <w:rsid w:val="00F87607"/>
    <w:rsid w:val="00F9424A"/>
    <w:rsid w:val="00F94C15"/>
    <w:rsid w:val="00FB2849"/>
    <w:rsid w:val="00FB2F68"/>
    <w:rsid w:val="00FC3AD5"/>
    <w:rsid w:val="00FD44E3"/>
    <w:rsid w:val="00FE7833"/>
    <w:rsid w:val="00FF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366D5-397D-48E6-B5AE-7602C8E2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30A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A67D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3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D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86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268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4733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A12E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12E2"/>
  </w:style>
  <w:style w:type="paragraph" w:styleId="Footer">
    <w:name w:val="footer"/>
    <w:basedOn w:val="Normal"/>
    <w:link w:val="FooterChar"/>
    <w:uiPriority w:val="99"/>
    <w:unhideWhenUsed/>
    <w:rsid w:val="000A12E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1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Morley</dc:creator>
  <cp:keywords/>
  <dc:description/>
  <cp:lastModifiedBy>Todd Morley</cp:lastModifiedBy>
  <cp:revision>97</cp:revision>
  <cp:lastPrinted>2016-11-22T18:20:00Z</cp:lastPrinted>
  <dcterms:created xsi:type="dcterms:W3CDTF">2016-11-02T21:35:00Z</dcterms:created>
  <dcterms:modified xsi:type="dcterms:W3CDTF">2016-11-30T04:31:00Z</dcterms:modified>
</cp:coreProperties>
</file>