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04E" w:rsidRDefault="00E168FC" w:rsidP="00E168FC">
      <w:pPr>
        <w:pStyle w:val="Heading1"/>
      </w:pPr>
      <w:r>
        <w:t>Analytics Products Mathematics Standards</w:t>
      </w:r>
    </w:p>
    <w:p w:rsidR="00E168FC" w:rsidRDefault="00E168FC"/>
    <w:p w:rsidR="00E168FC" w:rsidRDefault="00E168FC">
      <w:r>
        <w:t xml:space="preserve">Our mathematics standards’ purpose is to ensure that the tools we deliver </w:t>
      </w:r>
    </w:p>
    <w:p w:rsidR="00E168FC" w:rsidRDefault="00E168FC"/>
    <w:p w:rsidR="00E168FC" w:rsidRDefault="00E168FC" w:rsidP="00E168FC">
      <w:pPr>
        <w:pStyle w:val="ListParagraph"/>
        <w:numPr>
          <w:ilvl w:val="0"/>
          <w:numId w:val="24"/>
        </w:numPr>
      </w:pPr>
      <w:r>
        <w:t>are correct to the limits of machine precision</w:t>
      </w:r>
    </w:p>
    <w:p w:rsidR="00E168FC" w:rsidRDefault="00E168FC" w:rsidP="00E168FC">
      <w:pPr>
        <w:pStyle w:val="ListParagraph"/>
        <w:numPr>
          <w:ilvl w:val="0"/>
          <w:numId w:val="24"/>
        </w:numPr>
      </w:pPr>
      <w:r>
        <w:t xml:space="preserve">embody </w:t>
      </w:r>
      <w:r w:rsidR="003D67DD" w:rsidRPr="003B5C17">
        <w:t>scientifically acceptable</w:t>
      </w:r>
      <w:r w:rsidR="003D67DD">
        <w:t xml:space="preserve"> (</w:t>
      </w:r>
      <w:r>
        <w:t xml:space="preserve">generally accepted </w:t>
      </w:r>
      <w:r w:rsidR="003D67DD">
        <w:t xml:space="preserve">in the scientific literature, or proven optimal in a peer-reviewed journal article) </w:t>
      </w:r>
      <w:r>
        <w:t>state-of-the-art modeling techniques</w:t>
      </w:r>
    </w:p>
    <w:p w:rsidR="00E168FC" w:rsidRDefault="00E168FC" w:rsidP="00E168FC">
      <w:pPr>
        <w:pStyle w:val="ListParagraph"/>
        <w:numPr>
          <w:ilvl w:val="0"/>
          <w:numId w:val="24"/>
        </w:numPr>
      </w:pPr>
      <w:r>
        <w:t>expose commonly used model features</w:t>
      </w:r>
    </w:p>
    <w:p w:rsidR="00E168FC" w:rsidRDefault="00E168FC" w:rsidP="00A84593">
      <w:pPr>
        <w:pStyle w:val="ListParagraph"/>
        <w:numPr>
          <w:ilvl w:val="0"/>
          <w:numId w:val="24"/>
        </w:numPr>
      </w:pPr>
      <w:r>
        <w:t xml:space="preserve">generally encourage </w:t>
      </w:r>
      <w:r w:rsidR="00226242">
        <w:t xml:space="preserve">end users to apply </w:t>
      </w:r>
      <w:r>
        <w:t>mathematical best practices.</w:t>
      </w:r>
    </w:p>
    <w:p w:rsidR="00A84593" w:rsidRDefault="00A84593" w:rsidP="00A84593"/>
    <w:p w:rsidR="00A84593" w:rsidRDefault="00A84593" w:rsidP="00A84593">
      <w:r>
        <w:t xml:space="preserve">Equally important, enforcing our math standards during the design process ensures our development activities have a predictable duration. </w:t>
      </w:r>
    </w:p>
    <w:p w:rsidR="003B5C17" w:rsidRDefault="003B5C17" w:rsidP="00A84593"/>
    <w:p w:rsidR="003B5C17" w:rsidRDefault="003B5C17" w:rsidP="00A84593">
      <w:r>
        <w:t>In what follows, reviewing the scientific literature means developing a comprehensive understanding of the state of the art about a family of algorithms (such as linear models or centered clustering models), such as one would obtain by reading a current systematic-review article in a peer-reviewed journal, or a beginning-graduate textbook on the subject.  Where such reviews exist, they suffice.</w:t>
      </w:r>
    </w:p>
    <w:p w:rsidR="00E168FC" w:rsidRDefault="00E168FC" w:rsidP="00E168FC"/>
    <w:p w:rsidR="00E91749" w:rsidRDefault="00E91749">
      <w:pPr>
        <w:rPr>
          <w:rFonts w:asciiTheme="majorHAnsi" w:eastAsiaTheme="majorEastAsia" w:hAnsiTheme="majorHAnsi" w:cstheme="majorBidi"/>
          <w:color w:val="1F4E79" w:themeColor="accent1" w:themeShade="80"/>
          <w:sz w:val="26"/>
          <w:szCs w:val="26"/>
        </w:rPr>
      </w:pPr>
      <w:r>
        <w:t>(Continued)</w:t>
      </w:r>
      <w:r>
        <w:br w:type="page"/>
      </w:r>
    </w:p>
    <w:p w:rsidR="00A53E0D" w:rsidRDefault="00A53E0D" w:rsidP="00A53E0D">
      <w:pPr>
        <w:pStyle w:val="Heading2"/>
      </w:pPr>
      <w:r>
        <w:lastRenderedPageBreak/>
        <w:t>General Standards</w:t>
      </w:r>
    </w:p>
    <w:p w:rsidR="00A53E0D" w:rsidRDefault="00A53E0D" w:rsidP="00E168FC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8"/>
        <w:gridCol w:w="8722"/>
      </w:tblGrid>
      <w:tr w:rsidR="00A53E0D" w:rsidTr="00A77EC5">
        <w:tc>
          <w:tcPr>
            <w:tcW w:w="628" w:type="dxa"/>
          </w:tcPr>
          <w:p w:rsidR="00A53E0D" w:rsidRPr="00A53E0D" w:rsidRDefault="00A53E0D" w:rsidP="00E168FC">
            <w:pPr>
              <w:rPr>
                <w:b/>
              </w:rPr>
            </w:pPr>
            <w:r w:rsidRPr="00A53E0D">
              <w:rPr>
                <w:b/>
              </w:rPr>
              <w:t>ID</w:t>
            </w:r>
          </w:p>
        </w:tc>
        <w:tc>
          <w:tcPr>
            <w:tcW w:w="8722" w:type="dxa"/>
          </w:tcPr>
          <w:p w:rsidR="00A53E0D" w:rsidRPr="00A53E0D" w:rsidRDefault="00A53E0D" w:rsidP="00E168FC">
            <w:pPr>
              <w:rPr>
                <w:b/>
              </w:rPr>
            </w:pPr>
            <w:r w:rsidRPr="00A53E0D">
              <w:rPr>
                <w:b/>
              </w:rPr>
              <w:t>Description</w:t>
            </w:r>
          </w:p>
        </w:tc>
      </w:tr>
      <w:tr w:rsidR="00A53E0D" w:rsidTr="00A77EC5">
        <w:tc>
          <w:tcPr>
            <w:tcW w:w="628" w:type="dxa"/>
          </w:tcPr>
          <w:p w:rsidR="00A53E0D" w:rsidRDefault="00A53E0D" w:rsidP="00E168FC">
            <w:r>
              <w:t>M1</w:t>
            </w:r>
          </w:p>
        </w:tc>
        <w:tc>
          <w:tcPr>
            <w:tcW w:w="8722" w:type="dxa"/>
          </w:tcPr>
          <w:p w:rsidR="00A53E0D" w:rsidRDefault="00A53E0D" w:rsidP="000655A7">
            <w:r>
              <w:t>Each time we create a new tool or substantially enhance an existing tool</w:t>
            </w:r>
            <w:r w:rsidR="0002068E">
              <w:t xml:space="preserve">, </w:t>
            </w:r>
            <w:r w:rsidR="000655A7">
              <w:t>the primary developer</w:t>
            </w:r>
            <w:r w:rsidR="0002068E">
              <w:t xml:space="preserve"> will review relevant literature, compile a list of reviewed sources, save the list on Quip, and share the list with the math reviewers at least one business day before the math review.</w:t>
            </w:r>
            <w:r w:rsidR="000655A7">
              <w:t xml:space="preserve">  The secondary developer will read the material identified by the primary developer.  The remainder of the team will review the same material to their individual satisfaction.</w:t>
            </w:r>
          </w:p>
        </w:tc>
      </w:tr>
      <w:tr w:rsidR="00A53E0D" w:rsidTr="00A77EC5">
        <w:tc>
          <w:tcPr>
            <w:tcW w:w="628" w:type="dxa"/>
          </w:tcPr>
          <w:p w:rsidR="00A53E0D" w:rsidRDefault="0002068E" w:rsidP="00E168FC">
            <w:r>
              <w:t>M2</w:t>
            </w:r>
          </w:p>
        </w:tc>
        <w:tc>
          <w:tcPr>
            <w:tcW w:w="8722" w:type="dxa"/>
          </w:tcPr>
          <w:p w:rsidR="00A53E0D" w:rsidRDefault="0002068E" w:rsidP="00424BB1">
            <w:r>
              <w:t xml:space="preserve">Decisions </w:t>
            </w:r>
            <w:r w:rsidR="00F515CD">
              <w:t xml:space="preserve">about </w:t>
            </w:r>
            <w:r>
              <w:t>which model features to expose to naïve and sophisticated users</w:t>
            </w:r>
            <w:r w:rsidR="00F515CD">
              <w:t>, and how,</w:t>
            </w:r>
            <w:r>
              <w:t xml:space="preserve"> will reflect </w:t>
            </w:r>
            <w:r w:rsidR="00F515CD">
              <w:t xml:space="preserve">a review of online sources including bulletin boards, competitors’ technical documentation, </w:t>
            </w:r>
            <w:r w:rsidR="00424BB1">
              <w:t xml:space="preserve">as well as </w:t>
            </w:r>
            <w:r w:rsidR="00F515CD">
              <w:t>profess</w:t>
            </w:r>
            <w:r w:rsidR="00424BB1">
              <w:t>ional and research publications and customer input</w:t>
            </w:r>
            <w:r w:rsidR="00F515CD">
              <w:t>.</w:t>
            </w:r>
          </w:p>
        </w:tc>
      </w:tr>
      <w:tr w:rsidR="00A53E0D" w:rsidTr="00A77EC5">
        <w:tc>
          <w:tcPr>
            <w:tcW w:w="628" w:type="dxa"/>
          </w:tcPr>
          <w:p w:rsidR="00A53E0D" w:rsidRDefault="00F515CD" w:rsidP="00E168FC">
            <w:r>
              <w:t>M3</w:t>
            </w:r>
          </w:p>
        </w:tc>
        <w:tc>
          <w:tcPr>
            <w:tcW w:w="8722" w:type="dxa"/>
          </w:tcPr>
          <w:p w:rsidR="00A53E0D" w:rsidRDefault="00F515CD" w:rsidP="00F515CD">
            <w:r>
              <w:t>Each tool’s design document will identify the published sources of the mathematical techniques implemented in the tool.  These sources must be among the publications available for the math review.</w:t>
            </w:r>
          </w:p>
        </w:tc>
      </w:tr>
      <w:tr w:rsidR="00226242" w:rsidTr="00A77EC5">
        <w:tc>
          <w:tcPr>
            <w:tcW w:w="628" w:type="dxa"/>
          </w:tcPr>
          <w:p w:rsidR="00226242" w:rsidRDefault="00226242" w:rsidP="00E168FC">
            <w:r>
              <w:t>M4</w:t>
            </w:r>
          </w:p>
        </w:tc>
        <w:tc>
          <w:tcPr>
            <w:tcW w:w="8722" w:type="dxa"/>
          </w:tcPr>
          <w:p w:rsidR="00226242" w:rsidRDefault="00226242" w:rsidP="00226242">
            <w:r>
              <w:t>When a model commonly uses a variable transformation, or when applying the transformation before using the model is a best practice, a tool implementing the model will incorporate the transformation as an option that executes by default.</w:t>
            </w:r>
          </w:p>
        </w:tc>
      </w:tr>
      <w:tr w:rsidR="00560023" w:rsidTr="00A77EC5">
        <w:tc>
          <w:tcPr>
            <w:tcW w:w="628" w:type="dxa"/>
          </w:tcPr>
          <w:p w:rsidR="00560023" w:rsidRDefault="00226242" w:rsidP="00E168FC">
            <w:r>
              <w:t>M5</w:t>
            </w:r>
          </w:p>
        </w:tc>
        <w:tc>
          <w:tcPr>
            <w:tcW w:w="8722" w:type="dxa"/>
          </w:tcPr>
          <w:p w:rsidR="00560023" w:rsidRDefault="001A795C" w:rsidP="00ED0724">
            <w:r>
              <w:t xml:space="preserve">Every tool will </w:t>
            </w:r>
            <w:r w:rsidR="00ED0724">
              <w:t>implement</w:t>
            </w:r>
            <w:r>
              <w:t xml:space="preserve"> all </w:t>
            </w:r>
            <w:r w:rsidR="00560023">
              <w:t>applicable</w:t>
            </w:r>
            <w:r>
              <w:t>, widely used</w:t>
            </w:r>
            <w:r w:rsidR="00560023">
              <w:t xml:space="preserve"> </w:t>
            </w:r>
            <w:r>
              <w:t>model-quality metrics, whether these are general purpose, category specific, or model specific.</w:t>
            </w:r>
          </w:p>
        </w:tc>
      </w:tr>
      <w:tr w:rsidR="00560023" w:rsidTr="00A77EC5">
        <w:tc>
          <w:tcPr>
            <w:tcW w:w="628" w:type="dxa"/>
          </w:tcPr>
          <w:p w:rsidR="00560023" w:rsidRDefault="00226242" w:rsidP="00E168FC">
            <w:r>
              <w:t>M6</w:t>
            </w:r>
          </w:p>
        </w:tc>
        <w:tc>
          <w:tcPr>
            <w:tcW w:w="8722" w:type="dxa"/>
          </w:tcPr>
          <w:p w:rsidR="00560023" w:rsidRDefault="006E2DCA" w:rsidP="000841A7">
            <w:r>
              <w:t xml:space="preserve">Every tool will include </w:t>
            </w:r>
            <w:r w:rsidR="000841A7">
              <w:t xml:space="preserve">an </w:t>
            </w:r>
            <w:r>
              <w:t>emb</w:t>
            </w:r>
            <w:r w:rsidR="004A74CE">
              <w:t>edded variable-selection method</w:t>
            </w:r>
            <w:r>
              <w:t xml:space="preserve"> where </w:t>
            </w:r>
            <w:r w:rsidR="000841A7">
              <w:t xml:space="preserve">it </w:t>
            </w:r>
            <w:r>
              <w:t>exist</w:t>
            </w:r>
            <w:r w:rsidR="000841A7">
              <w:t>s</w:t>
            </w:r>
            <w:r>
              <w:t>.  Otherwise, if a wrapper variable-selection method is widely used, the tool will include it.</w:t>
            </w:r>
          </w:p>
        </w:tc>
      </w:tr>
      <w:tr w:rsidR="006E2DCA" w:rsidTr="00A77EC5">
        <w:tc>
          <w:tcPr>
            <w:tcW w:w="628" w:type="dxa"/>
          </w:tcPr>
          <w:p w:rsidR="006E2DCA" w:rsidRDefault="00226242" w:rsidP="00E168FC">
            <w:r>
              <w:t>M7</w:t>
            </w:r>
          </w:p>
        </w:tc>
        <w:tc>
          <w:tcPr>
            <w:tcW w:w="8722" w:type="dxa"/>
          </w:tcPr>
          <w:p w:rsidR="006E2DCA" w:rsidRDefault="000841A7" w:rsidP="00560023">
            <w:r>
              <w:t xml:space="preserve">Every tool will include an embedded null-replacement method where it exists.  </w:t>
            </w:r>
            <w:r w:rsidR="0013384B">
              <w:t>If several embedded methods exist, the math review process should determine which to implement.</w:t>
            </w:r>
          </w:p>
        </w:tc>
      </w:tr>
      <w:tr w:rsidR="00DC6A4C" w:rsidTr="00A77EC5">
        <w:tc>
          <w:tcPr>
            <w:tcW w:w="628" w:type="dxa"/>
          </w:tcPr>
          <w:p w:rsidR="00DC6A4C" w:rsidRDefault="00226242" w:rsidP="00E168FC">
            <w:r>
              <w:t>M8</w:t>
            </w:r>
          </w:p>
        </w:tc>
        <w:tc>
          <w:tcPr>
            <w:tcW w:w="8722" w:type="dxa"/>
          </w:tcPr>
          <w:p w:rsidR="00DC6A4C" w:rsidRDefault="00DC6A4C" w:rsidP="00DC6A4C">
            <w:r>
              <w:t>When a model can be implemented with any of several commonly used fitness functions, a tool implementing the model will support all of them.</w:t>
            </w:r>
            <w:r w:rsidR="00474B0F">
              <w:t xml:space="preserve">  </w:t>
            </w:r>
          </w:p>
        </w:tc>
      </w:tr>
      <w:tr w:rsidR="00A23C36" w:rsidTr="00E91749">
        <w:trPr>
          <w:cantSplit/>
        </w:trPr>
        <w:tc>
          <w:tcPr>
            <w:tcW w:w="628" w:type="dxa"/>
          </w:tcPr>
          <w:p w:rsidR="00A23C36" w:rsidRDefault="00226242" w:rsidP="00E168FC">
            <w:r>
              <w:t>M9</w:t>
            </w:r>
          </w:p>
        </w:tc>
        <w:tc>
          <w:tcPr>
            <w:tcW w:w="8722" w:type="dxa"/>
          </w:tcPr>
          <w:p w:rsidR="00A23C36" w:rsidRDefault="00A23C36" w:rsidP="00A23C36">
            <w:r>
              <w:t>When a model can be implemented with any of several commonly used fitting algorithms, the choice of fitting algorithm should reflect correctness, robustness, performance, and scalability concerns; and the literature review should determine how the alternatives compare along these four dimensions.</w:t>
            </w:r>
          </w:p>
        </w:tc>
      </w:tr>
    </w:tbl>
    <w:p w:rsidR="00A53E0D" w:rsidRDefault="00A53E0D" w:rsidP="00E168FC"/>
    <w:p w:rsidR="00405F46" w:rsidRDefault="00405F46" w:rsidP="00E168FC"/>
    <w:p w:rsidR="00405F46" w:rsidRDefault="00405F46">
      <w:r>
        <w:br w:type="page"/>
      </w:r>
    </w:p>
    <w:p w:rsidR="00405F46" w:rsidRDefault="00405F46" w:rsidP="00405F46">
      <w:pPr>
        <w:pStyle w:val="Heading2"/>
      </w:pPr>
      <w:r>
        <w:lastRenderedPageBreak/>
        <w:t>Transformation Standards</w:t>
      </w:r>
    </w:p>
    <w:p w:rsidR="00405F46" w:rsidRDefault="00405F46" w:rsidP="00E168FC"/>
    <w:p w:rsidR="00405F46" w:rsidRDefault="00405F46">
      <w:r>
        <w:br w:type="page"/>
      </w:r>
    </w:p>
    <w:p w:rsidR="00405F46" w:rsidRDefault="00405F46" w:rsidP="00405F46">
      <w:pPr>
        <w:pStyle w:val="Heading2"/>
      </w:pPr>
      <w:r>
        <w:lastRenderedPageBreak/>
        <w:t>Model-Quality Standards</w:t>
      </w:r>
    </w:p>
    <w:p w:rsidR="00405F46" w:rsidRDefault="00405F46" w:rsidP="00E168FC"/>
    <w:p w:rsidR="00405F46" w:rsidRDefault="00405F46">
      <w:r>
        <w:br w:type="page"/>
      </w:r>
    </w:p>
    <w:p w:rsidR="00405F46" w:rsidRDefault="00405F46" w:rsidP="00405F46">
      <w:pPr>
        <w:pStyle w:val="Heading2"/>
      </w:pPr>
      <w:r>
        <w:lastRenderedPageBreak/>
        <w:t>Variable-Selection Standards</w:t>
      </w:r>
    </w:p>
    <w:p w:rsidR="00405F46" w:rsidRDefault="00405F46" w:rsidP="00E168FC"/>
    <w:p w:rsidR="00405F46" w:rsidRDefault="00405F46">
      <w:r>
        <w:br w:type="page"/>
      </w:r>
    </w:p>
    <w:p w:rsidR="00405F46" w:rsidRDefault="00405F46" w:rsidP="00405F46">
      <w:pPr>
        <w:pStyle w:val="Heading2"/>
      </w:pPr>
      <w:r>
        <w:lastRenderedPageBreak/>
        <w:t>Null-Replacement Standards</w:t>
      </w:r>
    </w:p>
    <w:p w:rsidR="00405F46" w:rsidRDefault="00405F46" w:rsidP="00E168FC"/>
    <w:p w:rsidR="00405F46" w:rsidRDefault="00405F46">
      <w:r>
        <w:br w:type="page"/>
      </w:r>
    </w:p>
    <w:p w:rsidR="00405F46" w:rsidRDefault="00405F46" w:rsidP="00405F46">
      <w:pPr>
        <w:pStyle w:val="Heading2"/>
      </w:pPr>
      <w:r>
        <w:lastRenderedPageBreak/>
        <w:t>Fitness-Function Standards</w:t>
      </w:r>
    </w:p>
    <w:p w:rsidR="00405F46" w:rsidRDefault="00405F46" w:rsidP="00E168FC"/>
    <w:p w:rsidR="00405F46" w:rsidRDefault="00405F46">
      <w:r>
        <w:br w:type="page"/>
      </w:r>
    </w:p>
    <w:p w:rsidR="00405F46" w:rsidRDefault="00405F46" w:rsidP="00405F46">
      <w:pPr>
        <w:pStyle w:val="Heading2"/>
      </w:pPr>
      <w:r>
        <w:lastRenderedPageBreak/>
        <w:t>Fitting-Algorithm Standards</w:t>
      </w:r>
    </w:p>
    <w:p w:rsidR="00405F46" w:rsidRDefault="00405F46" w:rsidP="00E168FC"/>
    <w:p w:rsidR="00405F46" w:rsidRDefault="00405F46">
      <w:r>
        <w:br w:type="page"/>
      </w:r>
    </w:p>
    <w:p w:rsidR="00405F46" w:rsidRDefault="00405F46" w:rsidP="00405F46">
      <w:pPr>
        <w:pStyle w:val="Heading2"/>
      </w:pPr>
      <w:r>
        <w:lastRenderedPageBreak/>
        <w:t>Numerical Standards</w:t>
      </w:r>
    </w:p>
    <w:p w:rsidR="00405F46" w:rsidRDefault="00405F46" w:rsidP="00E168FC"/>
    <w:sectPr w:rsidR="00405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7D47D11"/>
    <w:multiLevelType w:val="hybridMultilevel"/>
    <w:tmpl w:val="085E5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3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8FC"/>
    <w:rsid w:val="0002068E"/>
    <w:rsid w:val="000655A7"/>
    <w:rsid w:val="000841A7"/>
    <w:rsid w:val="0013384B"/>
    <w:rsid w:val="001A795C"/>
    <w:rsid w:val="00226242"/>
    <w:rsid w:val="003B5C17"/>
    <w:rsid w:val="003D67DD"/>
    <w:rsid w:val="00405F46"/>
    <w:rsid w:val="00412BB2"/>
    <w:rsid w:val="004207C5"/>
    <w:rsid w:val="00424BB1"/>
    <w:rsid w:val="00474B0F"/>
    <w:rsid w:val="004A74CE"/>
    <w:rsid w:val="00560023"/>
    <w:rsid w:val="00645252"/>
    <w:rsid w:val="006D3D74"/>
    <w:rsid w:val="006E2DCA"/>
    <w:rsid w:val="00A23C36"/>
    <w:rsid w:val="00A53E0D"/>
    <w:rsid w:val="00A77EC5"/>
    <w:rsid w:val="00A84593"/>
    <w:rsid w:val="00A9204E"/>
    <w:rsid w:val="00DC6A4C"/>
    <w:rsid w:val="00E168FC"/>
    <w:rsid w:val="00E91749"/>
    <w:rsid w:val="00ED0724"/>
    <w:rsid w:val="00F07C51"/>
    <w:rsid w:val="00F51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84A550-1CD9-4435-A08B-95B1B1672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ListParagraph">
    <w:name w:val="List Paragraph"/>
    <w:basedOn w:val="Normal"/>
    <w:uiPriority w:val="34"/>
    <w:unhideWhenUsed/>
    <w:qFormat/>
    <w:rsid w:val="00E168FC"/>
    <w:pPr>
      <w:ind w:left="720"/>
      <w:contextualSpacing/>
    </w:pPr>
  </w:style>
  <w:style w:type="table" w:styleId="TableGrid">
    <w:name w:val="Table Grid"/>
    <w:basedOn w:val="TableNormal"/>
    <w:uiPriority w:val="39"/>
    <w:rsid w:val="00A53E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morley.SRC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194</TotalTime>
  <Pages>9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Morley</dc:creator>
  <cp:keywords/>
  <dc:description/>
  <cp:lastModifiedBy>Todd Morley</cp:lastModifiedBy>
  <cp:revision>23</cp:revision>
  <dcterms:created xsi:type="dcterms:W3CDTF">2016-11-30T05:09:00Z</dcterms:created>
  <dcterms:modified xsi:type="dcterms:W3CDTF">2016-12-02T00:11:00Z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