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 UI" w:hAnsi="Microsoft YaHei UI"/>
        <w:color w:val="7F91AA"/>
        <w:sz w:val="16"/>
      </w:rPr>
      <w:t>RoadMan · GOAI 无界应用参赛方案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 UI" w:hAnsi="Microsoft YaHei UI" w:eastAsia="Microsoft YaHei UI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02A5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173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2446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102A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 UI" w:hAnsi="Microsoft YaHei UI" w:eastAsia="Microsoft YaHei UI"/>
      <w:b/>
      <w:i/>
      <w:iCs/>
      <w:color w:val="246BFD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RoadMan｜多智能体自驾与旅行规划工作台</dc:title>
  <dc:subject>GOAI 无界应用｜Boundless Agents · AI+汽车参赛方案</dc:subject>
  <dc:creator>RoadMan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