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1B20A0C" w:rsidR="00CD0AC4" w:rsidRPr="00CD0AC4" w:rsidRDefault="00311336" w:rsidP="00CD0AC4">
            <w:pPr>
              <w:rPr>
                <w:b/>
                <w:bCs/>
              </w:rPr>
            </w:pPr>
            <w:r>
              <w:rPr>
                <w:b/>
                <w:bCs/>
              </w:rPr>
              <w:t>25</w:t>
            </w:r>
            <w:r w:rsidR="0078230D">
              <w:rPr>
                <w:b/>
                <w:bCs/>
              </w:rPr>
              <w:t>0</w:t>
            </w:r>
            <w:r w:rsidR="00823E42">
              <w:rPr>
                <w:b/>
                <w:bCs/>
              </w:rPr>
              <w:t>9</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4FED3F" w:rsidR="005813FD" w:rsidRPr="00CD0AC4" w:rsidRDefault="00311336" w:rsidP="005813FD">
            <w:pPr>
              <w:rPr>
                <w:b/>
                <w:bCs/>
              </w:rPr>
            </w:pPr>
            <w:r>
              <w:rPr>
                <w:b/>
                <w:bCs/>
              </w:rPr>
              <w:t>25</w:t>
            </w:r>
            <w:r w:rsidR="006778B0">
              <w:rPr>
                <w:b/>
                <w:bCs/>
              </w:rPr>
              <w:t>0</w:t>
            </w:r>
            <w:r w:rsidR="00823E42">
              <w:rPr>
                <w:b/>
                <w:bCs/>
              </w:rPr>
              <w:t>9</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4176838B" w14:textId="73D7BB86" w:rsidR="006C775E" w:rsidRPr="006C775E" w:rsidRDefault="00587F29" w:rsidP="007040B4">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311336">
        <w:t>5</w:t>
      </w:r>
      <w:r>
        <w:t xml:space="preserve"> –</w:t>
      </w:r>
      <w:r w:rsidR="007A7330">
        <w:t xml:space="preserve"> </w:t>
      </w:r>
      <w:r w:rsidR="00311336">
        <w:t xml:space="preserve">Further </w:t>
      </w:r>
      <w:r w:rsidR="00823E42">
        <w:t xml:space="preserve">Update – </w:t>
      </w:r>
      <w:r w:rsidR="009273D3">
        <w:t>gateway.py- improvement in processing of MQTT sensors.</w:t>
      </w:r>
    </w:p>
    <w:p w14:paraId="06CF77FC" w14:textId="672567A8" w:rsidR="00F870E2" w:rsidRPr="00063B9E" w:rsidRDefault="00311336" w:rsidP="007040B4">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rsidR="006C775E"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w:t>
            </w:r>
            <w:r>
              <w:t>5</w:t>
            </w:r>
            <w:r>
              <w:t>/09/2023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w:t>
            </w:r>
            <w:r>
              <w:rPr>
                <w:sz w:val="20"/>
                <w:szCs w:val="20"/>
              </w:rPr>
              <w:t>5</w:t>
            </w:r>
            <w:r>
              <w:rPr>
                <w:sz w:val="20"/>
                <w:szCs w:val="20"/>
              </w:rPr>
              <w:t>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w:t>
            </w:r>
            <w:r>
              <w:t>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2D58B8C7" w:rsidR="00311336" w:rsidRDefault="00311336" w:rsidP="00311336">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1479" w14:textId="77777777" w:rsidR="00D713EA" w:rsidRDefault="00D713EA" w:rsidP="00B95042">
      <w:pPr>
        <w:spacing w:after="0" w:line="240" w:lineRule="auto"/>
      </w:pPr>
      <w:r>
        <w:separator/>
      </w:r>
    </w:p>
  </w:endnote>
  <w:endnote w:type="continuationSeparator" w:id="0">
    <w:p w14:paraId="74426F21" w14:textId="77777777" w:rsidR="00D713EA" w:rsidRDefault="00D713E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BEC2" w14:textId="77777777" w:rsidR="00D713EA" w:rsidRDefault="00D713EA" w:rsidP="00B95042">
      <w:pPr>
        <w:spacing w:after="0" w:line="240" w:lineRule="auto"/>
      </w:pPr>
      <w:r>
        <w:separator/>
      </w:r>
    </w:p>
  </w:footnote>
  <w:footnote w:type="continuationSeparator" w:id="0">
    <w:p w14:paraId="4F357337" w14:textId="77777777" w:rsidR="00D713EA" w:rsidRDefault="00D713E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30701</TotalTime>
  <Pages>33</Pages>
  <Words>8870</Words>
  <Characters>50560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23</cp:revision>
  <cp:lastPrinted>2023-09-21T11:10:00Z</cp:lastPrinted>
  <dcterms:created xsi:type="dcterms:W3CDTF">2023-03-09T07:19:00Z</dcterms:created>
  <dcterms:modified xsi:type="dcterms:W3CDTF">2023-09-25T12:10:00Z</dcterms:modified>
</cp:coreProperties>
</file>