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RG-01: Empleados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propietario,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sistema para administrar los empleados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llevar una correcta gestión de estos.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RG-02: Incidencias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propietario,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sistema para administrar las incidencias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gestionar de forma correcta las incidencias causadas por cada conductor.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RG-03: Camiones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propietario,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sistema que permita administrar correctamente los camiones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llevar una correcta gestión de estos, así como los empleados asignados a cada uno.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RG-04: Pedidos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propietario,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sistema para administrar los pedidos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llevar una correcta gestión de estos, así como del conductor encargado del mismo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RG-05: Mercancías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propietario,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sistema para administrar las mercancías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llevar una correcta gestión de estas, además de saber si requieren algún tratamiento especial.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RG-06: Clientes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propietario,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sistema para administrar los clientes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llevar una correcta gestión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