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Care Transition Efficiency &amp; Placement Outcome Analytics</w:t>
      </w:r>
    </w:p>
    <w:p>
      <w:pPr/>
      <w:r>
        <w:rPr>
          <w:i/>
        </w:rPr>
        <w:t xml:space="preserve">Process-efficiency evaluation of the UAC Program pipeline (CBP custody → HHS care → sponsor discharge), Jan 2023 – Dec 2025</w:t>
      </w:r>
    </w:p>
    <w:p>
      <w:pPr>
        <w:pStyle w:val="Heading2"/>
      </w:pPr>
      <w:r>
        <w:t xml:space="preserve">1. Executive Summary (answer first)</w:t>
      </w:r>
    </w:p>
    <w:p>
      <w:pPr/>
      <w:r>
        <w:rPr>
          <w:b/>
        </w:rPr>
        <w:t xml:space="preserve">The UAC pipeline no longer has a capacity problem; it has a velocity problem.</w:t>
      </w:r>
      <w:r>
        <w:t xml:space="preserve"> Since February 2025, intake has fallen about 95% (143/day in Q4 2024 → 8/day in Q4 2025), yet children now move through the system far more slowly than they did at peak volume. Faster, more reliable movement is the central opportunity for reunification policy.</w:t>
      </w:r>
    </w:p>
    <w:p>
      <w:pPr/>
      <w:r>
        <w:rPr>
          <w:b/>
        </w:rPr>
        <w:t xml:space="preserve">Recommendation.</w:t>
      </w:r>
      <w:r>
        <w:t xml:space="preserve"> Adopt a five-KPI pipeline scorecard, set explicit dwell and length-of-stay targets, and close the data gaps that currently make delays undiagnosable (case-level timestamps, discharge types, seven-day reporting). Sequence the work over four quarters (Section 6).</w:t>
      </w:r>
    </w:p>
    <w:p>
      <w:pPr/>
      <w:r>
        <w:rPr>
          <w:b/>
        </w:rPr>
        <w:t xml:space="preserve">Supporting insights</w:t>
      </w:r>
    </w:p>
    <w:p>
      <w:pPr>
        <w:pStyle w:val="ListParagraph"/>
        <w:numPr>
          <w:ilvl w:val="0"/>
          <w:numId w:val="2"/>
        </w:numPr>
      </w:pPr>
      <w:r>
        <w:rPr>
          <w:b/>
        </w:rPr>
        <w:t xml:space="preserve">CBP → HHS transfers slowed.</w:t>
      </w:r>
      <w:r>
        <w:t xml:space="preserve"> Implied CBP dwell held at 1.1–1.4 days through 2024 and rose to 2.4 (Q2 2025), 3.2 (Q3) and 3.4 days (Q4), at or above the 72-hour transfer standard.</w:t>
      </w:r>
    </w:p>
    <w:p>
      <w:pPr>
        <w:pStyle w:val="ListParagraph"/>
        <w:numPr>
          <w:ilvl w:val="0"/>
          <w:numId w:val="2"/>
        </w:numPr>
      </w:pPr>
      <w:r>
        <w:rPr>
          <w:b/>
        </w:rPr>
        <w:t xml:space="preserve">Discharges stopped keeping pace with the system's own scale.</w:t>
      </w:r>
      <w:r>
        <w:t xml:space="preserve"> Discharge Effectiveness fell from 3.25% of HHS census per day (Q4 2023) to 0.43% (Q4 2025), an 87% decline. Implied length of stay rose from about 31–39 days to 149–234 days.</w:t>
      </w:r>
    </w:p>
    <w:p>
      <w:pPr>
        <w:pStyle w:val="ListParagraph"/>
        <w:numPr>
          <w:ilvl w:val="0"/>
          <w:numId w:val="2"/>
        </w:numPr>
      </w:pPr>
      <w:r>
        <w:rPr>
          <w:b/>
        </w:rPr>
        <w:t xml:space="preserve">Backlogs accumulated in 2024, then became chronic stagnation in 2025.</w:t>
      </w:r>
      <w:r>
        <w:t xml:space="preserve"> Four sustained inflow &gt; outflow episodes occurred in 2024; from March 2025 the discharge rate sat in its historic bottom quartile for 175 of the last ~190 records.</w:t>
      </w:r>
    </w:p>
    <w:p>
      <w:pPr>
        <w:pStyle w:val="ListParagraph"/>
        <w:numPr>
          <w:ilvl w:val="0"/>
          <w:numId w:val="2"/>
        </w:numPr>
      </w:pPr>
      <w:r>
        <w:rPr>
          <w:b/>
        </w:rPr>
        <w:t xml:space="preserve">Placement outcomes deteriorated structurally in February 2025.</w:t>
      </w:r>
      <w:r>
        <w:t xml:space="preserve"> Discharges fell 41% in one reporting window (11 Feb 2025) and never recovered. Stability then partly normalised in relative terms once low-count noise is accounted for.</w:t>
      </w:r>
    </w:p>
    <w:p>
      <w:pPr>
        <w:pStyle w:val="ListParagraph"/>
        <w:numPr>
          <w:ilvl w:val="0"/>
          <w:numId w:val="2"/>
        </w:numPr>
      </w:pPr>
      <w:r>
        <w:rPr>
          <w:b/>
        </w:rPr>
        <w:t xml:space="preserve">The data cannot yet explain why.</w:t>
      </w:r>
      <w:r>
        <w:t xml:space="preserve"> The file has no child-level durations, no discharge-type split and no Friday/Saturday records, so root causes must be tested with case-level data.</w:t>
      </w:r>
    </w:p>
    <w:p>
      <w:pPr>
        <w:pStyle w:val="Heading2"/>
      </w:pPr>
      <w:r>
        <w:t xml:space="preserve">2. Background and Objectives</w:t>
      </w:r>
    </w:p>
    <w:p>
      <w:pPr/>
      <w:r>
        <w:t xml:space="preserve">The UAC Program is a multi-stage care and reunification pipeline: apprehension and CBP custody, transfer to HHS, shelter and case management, and discharge to a vetted sponsor. Aggregate counts are monitored, but process-efficiency metrics are largely absent, so bottlenecks stay hidden. This study reframes the dataset from capacity monitoring to </w:t>
      </w:r>
      <w:r>
        <w:rPr>
          <w:b/>
        </w:rPr>
        <w:t xml:space="preserve">process efficiency and outcome evaluation</w:t>
      </w:r>
      <w:r>
        <w:t xml:space="preserve">.</w:t>
      </w:r>
    </w:p>
    <w:p>
      <w:pPr/>
      <w:r>
        <w:rPr>
          <w:b/>
        </w:rPr>
        <w:t xml:space="preserve">Research questions</w:t>
      </w:r>
    </w:p>
    <w:p>
      <w:pPr>
        <w:pStyle w:val="ListParagraph"/>
        <w:numPr>
          <w:ilvl w:val="0"/>
          <w:numId w:val="3"/>
        </w:numPr>
      </w:pPr>
      <w:r>
        <w:t xml:space="preserve">How efficiently are children transferred from CBP to HHS?</w:t>
      </w:r>
    </w:p>
    <w:p>
      <w:pPr>
        <w:pStyle w:val="ListParagraph"/>
        <w:numPr>
          <w:ilvl w:val="0"/>
          <w:numId w:val="3"/>
        </w:numPr>
      </w:pPr>
      <w:r>
        <w:t xml:space="preserve">Are discharges keeping pace with inflows?</w:t>
      </w:r>
    </w:p>
    <w:p>
      <w:pPr>
        <w:pStyle w:val="ListParagraph"/>
        <w:numPr>
          <w:ilvl w:val="0"/>
          <w:numId w:val="3"/>
        </w:numPr>
      </w:pPr>
      <w:r>
        <w:t xml:space="preserve">When and where do care backlogs accumulate?</w:t>
      </w:r>
    </w:p>
    <w:p>
      <w:pPr>
        <w:pStyle w:val="ListParagraph"/>
        <w:numPr>
          <w:ilvl w:val="0"/>
          <w:numId w:val="3"/>
        </w:numPr>
      </w:pPr>
      <w:r>
        <w:t xml:space="preserve">Are placement outcomes improving or deteriorating?</w:t>
      </w:r>
    </w:p>
    <w:p>
      <w:pPr>
        <w:pStyle w:val="Heading2"/>
      </w:pPr>
      <w:r>
        <w:t xml:space="preserve">3. Data and Method</w:t>
      </w:r>
    </w:p>
    <w:p>
      <w:pPr/>
      <w:r>
        <w:rPr>
          <w:b/>
        </w:rPr>
        <w:t xml:space="preserve">Data.</w:t>
      </w:r>
      <w:r>
        <w:t xml:space="preserve"> 720 reporting records from 12 Jan 2023 to 21 Dec 2025 with five series: apprehensions, CBP custody, transfers out of CBP, HHS care census, and HHS discharges. The CSV contained 450 blank rows, which were removed.</w:t>
      </w:r>
    </w:p>
    <w:p>
      <w:pPr/>
      <w:r>
        <w:rPr>
          <w:b/>
        </w:rPr>
        <w:t xml:space="preserve">Data-quality findings that shape interpretation</w:t>
      </w:r>
    </w:p>
    <w:p>
      <w:pPr>
        <w:pStyle w:val="ListParagraph"/>
        <w:numPr>
          <w:ilvl w:val="0"/>
          <w:numId w:val="4"/>
        </w:numPr>
      </w:pPr>
      <w:r>
        <w:rPr>
          <w:b/>
        </w:rPr>
        <w:t xml:space="preserve">Reporting calendar.</w:t>
      </w:r>
      <w:r>
        <w:t xml:space="preserve"> 355 of 1,075 calendar days are unreported. Records fall on Sunday–Thursday; there are only 2 Friday records and none for Saturday. A "weekday vs weekend" comparison is therefore a </w:t>
      </w:r>
      <w:r>
        <w:rPr>
          <w:i/>
        </w:rPr>
        <w:t xml:space="preserve">reporting-calendar</w:t>
      </w:r>
      <w:r>
        <w:t xml:space="preserve"> comparison.</w:t>
      </w:r>
    </w:p>
    <w:p>
      <w:pPr>
        <w:pStyle w:val="ListParagraph"/>
        <w:numPr>
          <w:ilvl w:val="0"/>
          <w:numId w:val="4"/>
        </w:numPr>
      </w:pPr>
      <w:r>
        <w:rPr>
          <w:b/>
        </w:rPr>
        <w:t xml:space="preserve">Flows do not fully reconcile to census.</w:t>
      </w:r>
      <w:r>
        <w:t xml:space="preserve"> On consecutive-day pairs, the daily change in HHS census correlates only 0.22 with (transfers − discharges); the CBP equivalent is 0.60. Average net flow was −44.7 per record versus an actual census change of −5.7. The census rises about +30 across consecutive Sunday–Thursday pairs and falls about −140 across each unreported Friday/Saturday gap (n = 151), which indicates material weekend activity invisible in the file. </w:t>
      </w:r>
      <w:r>
        <w:rPr>
          <w:b/>
        </w:rPr>
        <w:t xml:space="preserve">Census is therefore used as the primary backlog measure.</w:t>
      </w:r>
    </w:p>
    <w:p>
      <w:pPr>
        <w:pStyle w:val="ListParagraph"/>
        <w:numPr>
          <w:ilvl w:val="0"/>
          <w:numId w:val="4"/>
        </w:numPr>
      </w:pPr>
      <w:r>
        <w:rPr>
          <w:b/>
        </w:rPr>
        <w:t xml:space="preserve">"Discharged" is not split</w:t>
      </w:r>
      <w:r>
        <w:t xml:space="preserve"> into sponsor placements versus other exit types, so "placement success" is approximated by total discharges.</w:t>
      </w:r>
    </w:p>
    <w:p>
      <w:pPr/>
      <w:r>
        <w:rPr>
          <w:b/>
        </w:rPr>
        <w:t xml:space="preserve">Pipeline model.</w:t>
      </w:r>
      <w:r>
        <w:t xml:space="preserve"> Three stages (CBP custody, HHS care, sponsor placement) with daily movements between them.</w:t>
      </w:r>
    </w:p>
    <w:p>
      <w:pPr/>
      <w:r>
        <w:rPr>
          <w:b/>
        </w:rPr>
        <w:t xml:space="preserve">KPIs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KPI</w:t>
            </w:r>
          </w:p>
        </w:tc>
        <w:tc>
          <w:tcPr>
            <w:tcW w:w="3120" w:type="dxa"/>
            <w:shd w:val="clear" w:color="auto" w:fill="F2F2F2"/>
          </w:tcPr>
          <w:p>
            <w:pPr/>
            <w:r>
              <w:t xml:space="preserve">Definition</w:t>
            </w:r>
          </w:p>
        </w:tc>
        <w:tc>
          <w:tcPr>
            <w:tcW w:w="3120" w:type="dxa"/>
            <w:shd w:val="clear" w:color="auto" w:fill="F2F2F2"/>
          </w:tcPr>
          <w:p>
            <w:pPr/>
            <w:r>
              <w:t xml:space="preserve">Reading</w:t>
            </w:r>
          </w:p>
        </w:tc>
      </w:tr>
      <w:tr>
        <w:tc>
          <w:tcPr>
            <w:tcW w:w="3120" w:type="dxa"/>
          </w:tcPr>
          <w:p>
            <w:pPr/>
            <w:r>
              <w:t xml:space="preserve">Transfer Efficiency Ratio (TER)</w:t>
            </w:r>
          </w:p>
        </w:tc>
        <w:tc>
          <w:tcPr>
            <w:tcW w:w="3120" w:type="dxa"/>
          </w:tcPr>
          <w:p>
            <w:pPr/>
            <w:r>
              <w:t xml:space="preserve">Transfers ÷ CBP custody (daily)</w:t>
            </w:r>
          </w:p>
        </w:tc>
        <w:tc>
          <w:tcPr>
            <w:tcW w:w="3120" w:type="dxa"/>
          </w:tcPr>
          <w:p>
            <w:pPr/>
            <w:r>
              <w:t xml:space="preserve">Higher = faster CBP → HHS. 1/TER ≈ implied CBP dwell (days)</w:t>
            </w:r>
          </w:p>
        </w:tc>
      </w:tr>
      <w:tr>
        <w:tc>
          <w:tcPr>
            <w:tcW w:w="3120" w:type="dxa"/>
          </w:tcPr>
          <w:p>
            <w:pPr/>
            <w:r>
              <w:t xml:space="preserve">Discharge Effectiveness Index (DEI)</w:t>
            </w:r>
          </w:p>
        </w:tc>
        <w:tc>
          <w:tcPr>
            <w:tcW w:w="3120" w:type="dxa"/>
          </w:tcPr>
          <w:p>
            <w:pPr/>
            <w:r>
              <w:t xml:space="preserve">Discharges ÷ HHS care (daily)</w:t>
            </w:r>
          </w:p>
        </w:tc>
        <w:tc>
          <w:tcPr>
            <w:tcW w:w="3120" w:type="dxa"/>
          </w:tcPr>
          <w:p>
            <w:pPr/>
            <w:r>
              <w:t xml:space="preserve">Higher = faster placement. 1/DEI ≈ implied length of stay (days)</w:t>
            </w:r>
          </w:p>
        </w:tc>
      </w:tr>
      <w:tr>
        <w:tc>
          <w:tcPr>
            <w:tcW w:w="3120" w:type="dxa"/>
          </w:tcPr>
          <w:p>
            <w:pPr/>
            <w:r>
              <w:t xml:space="preserve">Pipeline Throughput</w:t>
            </w:r>
          </w:p>
        </w:tc>
        <w:tc>
          <w:tcPr>
            <w:tcW w:w="3120" w:type="dxa"/>
          </w:tcPr>
          <w:p>
            <w:pPr/>
            <w:r>
              <w:t xml:space="preserve">Exits ÷ entries by stage; end-to-end = 14-record discharges ÷ apprehensions</w:t>
            </w:r>
          </w:p>
        </w:tc>
        <w:tc>
          <w:tcPr>
            <w:tcW w:w="3120" w:type="dxa"/>
          </w:tcPr>
          <w:p>
            <w:pPr/>
            <w:r>
              <w:t xml:space="preserve">&gt;1 draining, &lt;1 queue building</w:t>
            </w:r>
          </w:p>
        </w:tc>
      </w:tr>
      <w:tr>
        <w:tc>
          <w:tcPr>
            <w:tcW w:w="3120" w:type="dxa"/>
          </w:tcPr>
          <w:p>
            <w:pPr/>
            <w:r>
              <w:t xml:space="preserve">Backlog Accumulation Rate</w:t>
            </w:r>
          </w:p>
        </w:tc>
        <w:tc>
          <w:tcPr>
            <w:tcW w:w="3120" w:type="dxa"/>
          </w:tcPr>
          <w:p>
            <w:pPr/>
            <w:r>
              <w:t xml:space="preserve">% change in stage census over 14 records; net flow for context</w:t>
            </w:r>
          </w:p>
        </w:tc>
        <w:tc>
          <w:tcPr>
            <w:tcW w:w="3120" w:type="dxa"/>
          </w:tcPr>
          <w:p>
            <w:pPr/>
            <w:r>
              <w:t xml:space="preserve">Positive = backlog building</w:t>
            </w:r>
          </w:p>
        </w:tc>
      </w:tr>
      <w:tr>
        <w:tc>
          <w:tcPr>
            <w:tcW w:w="3120" w:type="dxa"/>
          </w:tcPr>
          <w:p>
            <w:pPr/>
            <w:r>
              <w:t xml:space="preserve">Outcome Stability Score (OSS)</w:t>
            </w:r>
          </w:p>
        </w:tc>
        <w:tc>
          <w:tcPr>
            <w:tcW w:w="3120" w:type="dxa"/>
          </w:tcPr>
          <w:p>
            <w:pPr/>
            <w:r>
              <w:t xml:space="preserve">100 ÷ (1 + CV of discharges over 28 records)</w:t>
            </w:r>
          </w:p>
        </w:tc>
        <w:tc>
          <w:tcPr>
            <w:tcW w:w="3120" w:type="dxa"/>
          </w:tcPr>
          <w:p>
            <w:pPr/>
            <w:r>
              <w:t xml:space="preserve">100 = perfectly steady</w:t>
            </w:r>
          </w:p>
        </w:tc>
      </w:tr>
    </w:tbl>
    <w:p>
      <w:pPr/>
      <w:r>
        <w:t xml:space="preserve">Implied dwell and length of stay use Little's Law (stock ÷ daily outflow) and are </w:t>
      </w:r>
      <w:r>
        <w:rPr>
          <w:b/>
        </w:rPr>
        <w:t xml:space="preserve">population averages, not child-level durations</w:t>
      </w:r>
      <w:r>
        <w:t xml:space="preserve">.</w:t>
      </w:r>
    </w:p>
    <w:p>
      <w:pPr>
        <w:pStyle w:val="Heading2"/>
      </w:pPr>
      <w:r>
        <w:t xml:space="preserve">4. Findings</w:t>
      </w:r>
    </w:p>
    <w:p>
      <w:pPr>
        <w:pStyle w:val="Heading3"/>
      </w:pPr>
      <w:r>
        <w:t xml:space="preserve">4.1 Quarterly pipeline performance</w:t>
      </w:r>
    </w:p>
    <w:tbl>
      <w:tblPr>
        <w:tblStyle w:val="TableGrid"/>
        <w:tblW w:w="0" w:type="auto"/>
        <w:tblLayout w:type="fixed"/>
        <w:tblLook w:val="04A0" w:firstRow="1" w:lastRow="0" w:firstColumn="0" w:lastColumn="0" w:noHBand="0" w:noVBand="1"/>
      </w:tblPr>
      <w:tblGrid>
        <w:gridCol w:w="850"/>
        <w:gridCol w:w="850"/>
        <w:gridCol w:w="850"/>
        <w:gridCol w:w="850"/>
        <w:gridCol w:w="850"/>
        <w:gridCol w:w="850"/>
        <w:gridCol w:w="850"/>
        <w:gridCol w:w="850"/>
        <w:gridCol w:w="850"/>
        <w:gridCol w:w="850"/>
        <w:gridCol w:w="850"/>
      </w:tblGrid>
      <w:tr>
        <w:trPr>
          <w:tblHeader/>
        </w:trPr>
        <w:tc>
          <w:tcPr>
            <w:tcW w:w="850" w:type="dxa"/>
            <w:shd w:val="clear" w:color="auto" w:fill="F2F2F2"/>
          </w:tcPr>
          <w:p>
            <w:pPr/>
            <w:r>
              <w:t xml:space="preserve">Quarter</w:t>
            </w:r>
          </w:p>
        </w:tc>
        <w:tc>
          <w:tcPr>
            <w:tcW w:w="850" w:type="dxa"/>
            <w:shd w:val="clear" w:color="auto" w:fill="F2F2F2"/>
          </w:tcPr>
          <w:p>
            <w:pPr/>
            <w:r>
              <w:t xml:space="preserve">Apprehended/day</w:t>
            </w:r>
          </w:p>
        </w:tc>
        <w:tc>
          <w:tcPr>
            <w:tcW w:w="850" w:type="dxa"/>
            <w:shd w:val="clear" w:color="auto" w:fill="F2F2F2"/>
          </w:tcPr>
          <w:p>
            <w:pPr/>
            <w:r>
              <w:t xml:space="preserve">Transferred/day</w:t>
            </w:r>
          </w:p>
        </w:tc>
        <w:tc>
          <w:tcPr>
            <w:tcW w:w="850" w:type="dxa"/>
            <w:shd w:val="clear" w:color="auto" w:fill="F2F2F2"/>
          </w:tcPr>
          <w:p>
            <w:pPr/>
            <w:r>
              <w:t xml:space="preserve">Discharged/day</w:t>
            </w:r>
          </w:p>
        </w:tc>
        <w:tc>
          <w:tcPr>
            <w:tcW w:w="850" w:type="dxa"/>
            <w:shd w:val="clear" w:color="auto" w:fill="F2F2F2"/>
          </w:tcPr>
          <w:p>
            <w:pPr/>
            <w:r>
              <w:t xml:space="preserve">CBP census</w:t>
            </w:r>
          </w:p>
        </w:tc>
        <w:tc>
          <w:tcPr>
            <w:tcW w:w="850" w:type="dxa"/>
            <w:shd w:val="clear" w:color="auto" w:fill="F2F2F2"/>
          </w:tcPr>
          <w:p>
            <w:pPr/>
            <w:r>
              <w:t xml:space="preserve">HHS census</w:t>
            </w:r>
          </w:p>
        </w:tc>
        <w:tc>
          <w:tcPr>
            <w:tcW w:w="850" w:type="dxa"/>
            <w:shd w:val="clear" w:color="auto" w:fill="F2F2F2"/>
          </w:tcPr>
          <w:p>
            <w:pPr/>
            <w:r>
              <w:t xml:space="preserve">TER</w:t>
            </w:r>
          </w:p>
        </w:tc>
        <w:tc>
          <w:tcPr>
            <w:tcW w:w="850" w:type="dxa"/>
            <w:shd w:val="clear" w:color="auto" w:fill="F2F2F2"/>
          </w:tcPr>
          <w:p>
            <w:pPr/>
            <w:r>
              <w:t xml:space="preserve">DEI (%/day)</w:t>
            </w:r>
          </w:p>
        </w:tc>
        <w:tc>
          <w:tcPr>
            <w:tcW w:w="850" w:type="dxa"/>
            <w:shd w:val="clear" w:color="auto" w:fill="F2F2F2"/>
          </w:tcPr>
          <w:p>
            <w:pPr/>
            <w:r>
              <w:t xml:space="preserve">CBP dwell (d)</w:t>
            </w:r>
          </w:p>
        </w:tc>
        <w:tc>
          <w:tcPr>
            <w:tcW w:w="850" w:type="dxa"/>
            <w:shd w:val="clear" w:color="auto" w:fill="F2F2F2"/>
          </w:tcPr>
          <w:p>
            <w:pPr/>
            <w:r>
              <w:t xml:space="preserve">HHS LOS (d)</w:t>
            </w:r>
          </w:p>
        </w:tc>
        <w:tc>
          <w:tcPr>
            <w:tcW w:w="850" w:type="dxa"/>
            <w:shd w:val="clear" w:color="auto" w:fill="F2F2F2"/>
          </w:tcPr>
          <w:p>
            <w:pPr/>
            <w:r>
              <w:t xml:space="preserve">OSS</w:t>
            </w:r>
          </w:p>
        </w:tc>
      </w:tr>
      <w:tr>
        <w:tc>
          <w:tcPr>
            <w:tcW w:w="850" w:type="dxa"/>
          </w:tcPr>
          <w:p>
            <w:pPr/>
            <w:r>
              <w:t xml:space="preserve">2023Q1</w:t>
            </w:r>
          </w:p>
        </w:tc>
        <w:tc>
          <w:tcPr>
            <w:tcW w:w="850" w:type="dxa"/>
          </w:tcPr>
          <w:p>
            <w:pPr/>
            <w:r>
              <w:t xml:space="preserve">100</w:t>
            </w:r>
          </w:p>
        </w:tc>
        <w:tc>
          <w:tcPr>
            <w:tcW w:w="850" w:type="dxa"/>
          </w:tcPr>
          <w:p>
            <w:pPr/>
            <w:r>
              <w:t xml:space="preserve">137</w:t>
            </w:r>
          </w:p>
        </w:tc>
        <w:tc>
          <w:tcPr>
            <w:tcW w:w="850" w:type="dxa"/>
          </w:tcPr>
          <w:p>
            <w:pPr/>
            <w:r>
              <w:t xml:space="preserve">270</w:t>
            </w:r>
          </w:p>
        </w:tc>
        <w:tc>
          <w:tcPr>
            <w:tcW w:w="850" w:type="dxa"/>
          </w:tcPr>
          <w:p>
            <w:pPr/>
            <w:r>
              <w:t xml:space="preserve">180</w:t>
            </w:r>
          </w:p>
        </w:tc>
        <w:tc>
          <w:tcPr>
            <w:tcW w:w="850" w:type="dxa"/>
          </w:tcPr>
          <w:p>
            <w:pPr/>
            <w:r>
              <w:t xml:space="preserve">7,783</w:t>
            </w:r>
          </w:p>
        </w:tc>
        <w:tc>
          <w:tcPr>
            <w:tcW w:w="850" w:type="dxa"/>
          </w:tcPr>
          <w:p>
            <w:pPr/>
            <w:r>
              <w:t xml:space="preserve">0.76</w:t>
            </w:r>
          </w:p>
        </w:tc>
        <w:tc>
          <w:tcPr>
            <w:tcW w:w="850" w:type="dxa"/>
          </w:tcPr>
          <w:p>
            <w:pPr/>
            <w:r>
              <w:t xml:space="preserve">3.47</w:t>
            </w:r>
          </w:p>
        </w:tc>
        <w:tc>
          <w:tcPr>
            <w:tcW w:w="850" w:type="dxa"/>
          </w:tcPr>
          <w:p>
            <w:pPr/>
            <w:r>
              <w:t xml:space="preserve">1.3</w:t>
            </w:r>
          </w:p>
        </w:tc>
        <w:tc>
          <w:tcPr>
            <w:tcW w:w="850" w:type="dxa"/>
          </w:tcPr>
          <w:p>
            <w:pPr/>
            <w:r>
              <w:t xml:space="preserve">29</w:t>
            </w:r>
          </w:p>
        </w:tc>
        <w:tc>
          <w:tcPr>
            <w:tcW w:w="850" w:type="dxa"/>
          </w:tcPr>
          <w:p>
            <w:pPr/>
            <w:r>
              <w:t xml:space="preserve">81</w:t>
            </w:r>
          </w:p>
        </w:tc>
      </w:tr>
      <w:tr>
        <w:tc>
          <w:tcPr>
            <w:tcW w:w="850" w:type="dxa"/>
          </w:tcPr>
          <w:p>
            <w:pPr/>
            <w:r>
              <w:t xml:space="preserve">2023Q2</w:t>
            </w:r>
          </w:p>
        </w:tc>
        <w:tc>
          <w:tcPr>
            <w:tcW w:w="850" w:type="dxa"/>
          </w:tcPr>
          <w:p>
            <w:pPr/>
            <w:r>
              <w:t xml:space="preserve">121</w:t>
            </w:r>
          </w:p>
        </w:tc>
        <w:tc>
          <w:tcPr>
            <w:tcW w:w="850" w:type="dxa"/>
          </w:tcPr>
          <w:p>
            <w:pPr/>
            <w:r>
              <w:t xml:space="preserve">159</w:t>
            </w:r>
          </w:p>
        </w:tc>
        <w:tc>
          <w:tcPr>
            <w:tcW w:w="850" w:type="dxa"/>
          </w:tcPr>
          <w:p>
            <w:pPr/>
            <w:r>
              <w:t xml:space="preserve">253</w:t>
            </w:r>
          </w:p>
        </w:tc>
        <w:tc>
          <w:tcPr>
            <w:tcW w:w="850" w:type="dxa"/>
          </w:tcPr>
          <w:p>
            <w:pPr/>
            <w:r>
              <w:t xml:space="preserve">205</w:t>
            </w:r>
          </w:p>
        </w:tc>
        <w:tc>
          <w:tcPr>
            <w:tcW w:w="850" w:type="dxa"/>
          </w:tcPr>
          <w:p>
            <w:pPr/>
            <w:r>
              <w:t xml:space="preserve">7,421</w:t>
            </w:r>
          </w:p>
        </w:tc>
        <w:tc>
          <w:tcPr>
            <w:tcW w:w="850" w:type="dxa"/>
          </w:tcPr>
          <w:p>
            <w:pPr/>
            <w:r>
              <w:t xml:space="preserve">0.77</w:t>
            </w:r>
          </w:p>
        </w:tc>
        <w:tc>
          <w:tcPr>
            <w:tcW w:w="850" w:type="dxa"/>
          </w:tcPr>
          <w:p>
            <w:pPr/>
            <w:r>
              <w:t xml:space="preserve">3.41</w:t>
            </w:r>
          </w:p>
        </w:tc>
        <w:tc>
          <w:tcPr>
            <w:tcW w:w="850" w:type="dxa"/>
          </w:tcPr>
          <w:p>
            <w:pPr/>
            <w:r>
              <w:t xml:space="preserve">1.3</w:t>
            </w:r>
          </w:p>
        </w:tc>
        <w:tc>
          <w:tcPr>
            <w:tcW w:w="850" w:type="dxa"/>
          </w:tcPr>
          <w:p>
            <w:pPr/>
            <w:r>
              <w:t xml:space="preserve">29</w:t>
            </w:r>
          </w:p>
        </w:tc>
        <w:tc>
          <w:tcPr>
            <w:tcW w:w="850" w:type="dxa"/>
          </w:tcPr>
          <w:p>
            <w:pPr/>
            <w:r>
              <w:t xml:space="preserve">80</w:t>
            </w:r>
          </w:p>
        </w:tc>
      </w:tr>
      <w:tr>
        <w:tc>
          <w:tcPr>
            <w:tcW w:w="850" w:type="dxa"/>
          </w:tcPr>
          <w:p>
            <w:pPr/>
            <w:r>
              <w:t xml:space="preserve">2023Q3</w:t>
            </w:r>
          </w:p>
        </w:tc>
        <w:tc>
          <w:tcPr>
            <w:tcW w:w="850" w:type="dxa"/>
          </w:tcPr>
          <w:p>
            <w:pPr/>
            <w:r>
              <w:t xml:space="preserve">147</w:t>
            </w:r>
          </w:p>
        </w:tc>
        <w:tc>
          <w:tcPr>
            <w:tcW w:w="850" w:type="dxa"/>
          </w:tcPr>
          <w:p>
            <w:pPr/>
            <w:r>
              <w:t xml:space="preserve">191</w:t>
            </w:r>
          </w:p>
        </w:tc>
        <w:tc>
          <w:tcPr>
            <w:tcW w:w="850" w:type="dxa"/>
          </w:tcPr>
          <w:p>
            <w:pPr/>
            <w:r>
              <w:t xml:space="preserve">290</w:t>
            </w:r>
          </w:p>
        </w:tc>
        <w:tc>
          <w:tcPr>
            <w:tcW w:w="850" w:type="dxa"/>
          </w:tcPr>
          <w:p>
            <w:pPr/>
            <w:r>
              <w:t xml:space="preserve">257</w:t>
            </w:r>
          </w:p>
        </w:tc>
        <w:tc>
          <w:tcPr>
            <w:tcW w:w="850" w:type="dxa"/>
          </w:tcPr>
          <w:p>
            <w:pPr/>
            <w:r>
              <w:t xml:space="preserve">8,895</w:t>
            </w:r>
          </w:p>
        </w:tc>
        <w:tc>
          <w:tcPr>
            <w:tcW w:w="850" w:type="dxa"/>
          </w:tcPr>
          <w:p>
            <w:pPr/>
            <w:r>
              <w:t xml:space="preserve">0.74</w:t>
            </w:r>
          </w:p>
        </w:tc>
        <w:tc>
          <w:tcPr>
            <w:tcW w:w="850" w:type="dxa"/>
          </w:tcPr>
          <w:p>
            <w:pPr/>
            <w:r>
              <w:t xml:space="preserve">3.26</w:t>
            </w:r>
          </w:p>
        </w:tc>
        <w:tc>
          <w:tcPr>
            <w:tcW w:w="850" w:type="dxa"/>
          </w:tcPr>
          <w:p>
            <w:pPr/>
            <w:r>
              <w:t xml:space="preserve">1.3</w:t>
            </w:r>
          </w:p>
        </w:tc>
        <w:tc>
          <w:tcPr>
            <w:tcW w:w="850" w:type="dxa"/>
          </w:tcPr>
          <w:p>
            <w:pPr/>
            <w:r>
              <w:t xml:space="preserve">31</w:t>
            </w:r>
          </w:p>
        </w:tc>
        <w:tc>
          <w:tcPr>
            <w:tcW w:w="850" w:type="dxa"/>
          </w:tcPr>
          <w:p>
            <w:pPr/>
            <w:r>
              <w:t xml:space="preserve">76</w:t>
            </w:r>
          </w:p>
        </w:tc>
      </w:tr>
      <w:tr>
        <w:tc>
          <w:tcPr>
            <w:tcW w:w="850" w:type="dxa"/>
          </w:tcPr>
          <w:p>
            <w:pPr/>
            <w:r>
              <w:t xml:space="preserve">2023Q4</w:t>
            </w:r>
          </w:p>
        </w:tc>
        <w:tc>
          <w:tcPr>
            <w:tcW w:w="850" w:type="dxa"/>
          </w:tcPr>
          <w:p>
            <w:pPr/>
            <w:r>
              <w:t xml:space="preserve">98</w:t>
            </w:r>
          </w:p>
        </w:tc>
        <w:tc>
          <w:tcPr>
            <w:tcW w:w="850" w:type="dxa"/>
          </w:tcPr>
          <w:p>
            <w:pPr/>
            <w:r>
              <w:t xml:space="preserve">137</w:t>
            </w:r>
          </w:p>
        </w:tc>
        <w:tc>
          <w:tcPr>
            <w:tcW w:w="850" w:type="dxa"/>
          </w:tcPr>
          <w:p>
            <w:pPr/>
            <w:r>
              <w:t xml:space="preserve">335</w:t>
            </w:r>
          </w:p>
        </w:tc>
        <w:tc>
          <w:tcPr>
            <w:tcW w:w="850" w:type="dxa"/>
          </w:tcPr>
          <w:p>
            <w:pPr/>
            <w:r>
              <w:t xml:space="preserve">155</w:t>
            </w:r>
          </w:p>
        </w:tc>
        <w:tc>
          <w:tcPr>
            <w:tcW w:w="850" w:type="dxa"/>
          </w:tcPr>
          <w:p>
            <w:pPr/>
            <w:r>
              <w:t xml:space="preserve">10,317</w:t>
            </w:r>
          </w:p>
        </w:tc>
        <w:tc>
          <w:tcPr>
            <w:tcW w:w="850" w:type="dxa"/>
          </w:tcPr>
          <w:p>
            <w:pPr/>
            <w:r>
              <w:t xml:space="preserve">0.88</w:t>
            </w:r>
          </w:p>
        </w:tc>
        <w:tc>
          <w:tcPr>
            <w:tcW w:w="850" w:type="dxa"/>
          </w:tcPr>
          <w:p>
            <w:pPr/>
            <w:r>
              <w:t xml:space="preserve">3.25</w:t>
            </w:r>
          </w:p>
        </w:tc>
        <w:tc>
          <w:tcPr>
            <w:tcW w:w="850" w:type="dxa"/>
          </w:tcPr>
          <w:p>
            <w:pPr/>
            <w:r>
              <w:t xml:space="preserve">1.1</w:t>
            </w:r>
          </w:p>
        </w:tc>
        <w:tc>
          <w:tcPr>
            <w:tcW w:w="850" w:type="dxa"/>
          </w:tcPr>
          <w:p>
            <w:pPr/>
            <w:r>
              <w:t xml:space="preserve">31</w:t>
            </w:r>
          </w:p>
        </w:tc>
        <w:tc>
          <w:tcPr>
            <w:tcW w:w="850" w:type="dxa"/>
          </w:tcPr>
          <w:p>
            <w:pPr/>
            <w:r>
              <w:t xml:space="preserve">83</w:t>
            </w:r>
          </w:p>
        </w:tc>
      </w:tr>
      <w:tr>
        <w:tc>
          <w:tcPr>
            <w:tcW w:w="850" w:type="dxa"/>
          </w:tcPr>
          <w:p>
            <w:pPr/>
            <w:r>
              <w:t xml:space="preserve">2024Q1</w:t>
            </w:r>
          </w:p>
        </w:tc>
        <w:tc>
          <w:tcPr>
            <w:tcW w:w="850" w:type="dxa"/>
          </w:tcPr>
          <w:p>
            <w:pPr/>
            <w:r>
              <w:t xml:space="preserve">159</w:t>
            </w:r>
          </w:p>
        </w:tc>
        <w:tc>
          <w:tcPr>
            <w:tcW w:w="850" w:type="dxa"/>
          </w:tcPr>
          <w:p>
            <w:pPr/>
            <w:r>
              <w:t xml:space="preserve">228</w:t>
            </w:r>
          </w:p>
        </w:tc>
        <w:tc>
          <w:tcPr>
            <w:tcW w:w="850" w:type="dxa"/>
          </w:tcPr>
          <w:p>
            <w:pPr/>
            <w:r>
              <w:t xml:space="preserve">277</w:t>
            </w:r>
          </w:p>
        </w:tc>
        <w:tc>
          <w:tcPr>
            <w:tcW w:w="850" w:type="dxa"/>
          </w:tcPr>
          <w:p>
            <w:pPr/>
            <w:r>
              <w:t xml:space="preserve">307</w:t>
            </w:r>
          </w:p>
        </w:tc>
        <w:tc>
          <w:tcPr>
            <w:tcW w:w="850" w:type="dxa"/>
          </w:tcPr>
          <w:p>
            <w:pPr/>
            <w:r>
              <w:t xml:space="preserve">8,528</w:t>
            </w:r>
          </w:p>
        </w:tc>
        <w:tc>
          <w:tcPr>
            <w:tcW w:w="850" w:type="dxa"/>
          </w:tcPr>
          <w:p>
            <w:pPr/>
            <w:r>
              <w:t xml:space="preserve">0.74</w:t>
            </w:r>
          </w:p>
        </w:tc>
        <w:tc>
          <w:tcPr>
            <w:tcW w:w="850" w:type="dxa"/>
          </w:tcPr>
          <w:p>
            <w:pPr/>
            <w:r>
              <w:t xml:space="preserve">3.25</w:t>
            </w:r>
          </w:p>
        </w:tc>
        <w:tc>
          <w:tcPr>
            <w:tcW w:w="850" w:type="dxa"/>
          </w:tcPr>
          <w:p>
            <w:pPr/>
            <w:r>
              <w:t xml:space="preserve">1.3</w:t>
            </w:r>
          </w:p>
        </w:tc>
        <w:tc>
          <w:tcPr>
            <w:tcW w:w="850" w:type="dxa"/>
          </w:tcPr>
          <w:p>
            <w:pPr/>
            <w:r>
              <w:t xml:space="preserve">31</w:t>
            </w:r>
          </w:p>
        </w:tc>
        <w:tc>
          <w:tcPr>
            <w:tcW w:w="850" w:type="dxa"/>
          </w:tcPr>
          <w:p>
            <w:pPr/>
            <w:r>
              <w:t xml:space="preserve">81</w:t>
            </w:r>
          </w:p>
        </w:tc>
      </w:tr>
      <w:tr>
        <w:tc>
          <w:tcPr>
            <w:tcW w:w="850" w:type="dxa"/>
          </w:tcPr>
          <w:p>
            <w:pPr/>
            <w:r>
              <w:t xml:space="preserve">2024Q2</w:t>
            </w:r>
          </w:p>
        </w:tc>
        <w:tc>
          <w:tcPr>
            <w:tcW w:w="850" w:type="dxa"/>
          </w:tcPr>
          <w:p>
            <w:pPr/>
            <w:r>
              <w:t xml:space="preserve">161</w:t>
            </w:r>
          </w:p>
        </w:tc>
        <w:tc>
          <w:tcPr>
            <w:tcW w:w="850" w:type="dxa"/>
          </w:tcPr>
          <w:p>
            <w:pPr/>
            <w:r>
              <w:t xml:space="preserve">238</w:t>
            </w:r>
          </w:p>
        </w:tc>
        <w:tc>
          <w:tcPr>
            <w:tcW w:w="850" w:type="dxa"/>
          </w:tcPr>
          <w:p>
            <w:pPr/>
            <w:r>
              <w:t xml:space="preserve">214</w:t>
            </w:r>
          </w:p>
        </w:tc>
        <w:tc>
          <w:tcPr>
            <w:tcW w:w="850" w:type="dxa"/>
          </w:tcPr>
          <w:p>
            <w:pPr/>
            <w:r>
              <w:t xml:space="preserve">313</w:t>
            </w:r>
          </w:p>
        </w:tc>
        <w:tc>
          <w:tcPr>
            <w:tcW w:w="850" w:type="dxa"/>
          </w:tcPr>
          <w:p>
            <w:pPr/>
            <w:r>
              <w:t xml:space="preserve">7,304</w:t>
            </w:r>
          </w:p>
        </w:tc>
        <w:tc>
          <w:tcPr>
            <w:tcW w:w="850" w:type="dxa"/>
          </w:tcPr>
          <w:p>
            <w:pPr/>
            <w:r>
              <w:t xml:space="preserve">0.76</w:t>
            </w:r>
          </w:p>
        </w:tc>
        <w:tc>
          <w:tcPr>
            <w:tcW w:w="850" w:type="dxa"/>
          </w:tcPr>
          <w:p>
            <w:pPr/>
            <w:r>
              <w:t xml:space="preserve">2.94</w:t>
            </w:r>
          </w:p>
        </w:tc>
        <w:tc>
          <w:tcPr>
            <w:tcW w:w="850" w:type="dxa"/>
          </w:tcPr>
          <w:p>
            <w:pPr/>
            <w:r>
              <w:t xml:space="preserve">1.3</w:t>
            </w:r>
          </w:p>
        </w:tc>
        <w:tc>
          <w:tcPr>
            <w:tcW w:w="850" w:type="dxa"/>
          </w:tcPr>
          <w:p>
            <w:pPr/>
            <w:r>
              <w:t xml:space="preserve">34</w:t>
            </w:r>
          </w:p>
        </w:tc>
        <w:tc>
          <w:tcPr>
            <w:tcW w:w="850" w:type="dxa"/>
          </w:tcPr>
          <w:p>
            <w:pPr/>
            <w:r>
              <w:t xml:space="preserve">81</w:t>
            </w:r>
          </w:p>
        </w:tc>
      </w:tr>
      <w:tr>
        <w:tc>
          <w:tcPr>
            <w:tcW w:w="850" w:type="dxa"/>
          </w:tcPr>
          <w:p>
            <w:pPr/>
            <w:r>
              <w:t xml:space="preserve">2024Q3</w:t>
            </w:r>
          </w:p>
        </w:tc>
        <w:tc>
          <w:tcPr>
            <w:tcW w:w="850" w:type="dxa"/>
          </w:tcPr>
          <w:p>
            <w:pPr/>
            <w:r>
              <w:t xml:space="preserve">129</w:t>
            </w:r>
          </w:p>
        </w:tc>
        <w:tc>
          <w:tcPr>
            <w:tcW w:w="850" w:type="dxa"/>
          </w:tcPr>
          <w:p>
            <w:pPr/>
            <w:r>
              <w:t xml:space="preserve">181</w:t>
            </w:r>
          </w:p>
        </w:tc>
        <w:tc>
          <w:tcPr>
            <w:tcW w:w="850" w:type="dxa"/>
          </w:tcPr>
          <w:p>
            <w:pPr/>
            <w:r>
              <w:t xml:space="preserve">172</w:t>
            </w:r>
          </w:p>
        </w:tc>
        <w:tc>
          <w:tcPr>
            <w:tcW w:w="850" w:type="dxa"/>
          </w:tcPr>
          <w:p>
            <w:pPr/>
            <w:r>
              <w:t xml:space="preserve">235</w:t>
            </w:r>
          </w:p>
        </w:tc>
        <w:tc>
          <w:tcPr>
            <w:tcW w:w="850" w:type="dxa"/>
          </w:tcPr>
          <w:p>
            <w:pPr/>
            <w:r>
              <w:t xml:space="preserve">6,174</w:t>
            </w:r>
          </w:p>
        </w:tc>
        <w:tc>
          <w:tcPr>
            <w:tcW w:w="850" w:type="dxa"/>
          </w:tcPr>
          <w:p>
            <w:pPr/>
            <w:r>
              <w:t xml:space="preserve">0.77</w:t>
            </w:r>
          </w:p>
        </w:tc>
        <w:tc>
          <w:tcPr>
            <w:tcW w:w="850" w:type="dxa"/>
          </w:tcPr>
          <w:p>
            <w:pPr/>
            <w:r>
              <w:t xml:space="preserve">2.79</w:t>
            </w:r>
          </w:p>
        </w:tc>
        <w:tc>
          <w:tcPr>
            <w:tcW w:w="850" w:type="dxa"/>
          </w:tcPr>
          <w:p>
            <w:pPr/>
            <w:r>
              <w:t xml:space="preserve">1.3</w:t>
            </w:r>
          </w:p>
        </w:tc>
        <w:tc>
          <w:tcPr>
            <w:tcW w:w="850" w:type="dxa"/>
          </w:tcPr>
          <w:p>
            <w:pPr/>
            <w:r>
              <w:t xml:space="preserve">36</w:t>
            </w:r>
          </w:p>
        </w:tc>
        <w:tc>
          <w:tcPr>
            <w:tcW w:w="850" w:type="dxa"/>
          </w:tcPr>
          <w:p>
            <w:pPr/>
            <w:r>
              <w:t xml:space="preserve">81</w:t>
            </w:r>
          </w:p>
        </w:tc>
      </w:tr>
      <w:tr>
        <w:tc>
          <w:tcPr>
            <w:tcW w:w="850" w:type="dxa"/>
          </w:tcPr>
          <w:p>
            <w:pPr/>
            <w:r>
              <w:t xml:space="preserve">2024Q4</w:t>
            </w:r>
          </w:p>
        </w:tc>
        <w:tc>
          <w:tcPr>
            <w:tcW w:w="850" w:type="dxa"/>
          </w:tcPr>
          <w:p>
            <w:pPr/>
            <w:r>
              <w:t xml:space="preserve">143</w:t>
            </w:r>
          </w:p>
        </w:tc>
        <w:tc>
          <w:tcPr>
            <w:tcW w:w="850" w:type="dxa"/>
          </w:tcPr>
          <w:p>
            <w:pPr/>
            <w:r>
              <w:t xml:space="preserve">189</w:t>
            </w:r>
          </w:p>
        </w:tc>
        <w:tc>
          <w:tcPr>
            <w:tcW w:w="850" w:type="dxa"/>
          </w:tcPr>
          <w:p>
            <w:pPr/>
            <w:r>
              <w:t xml:space="preserve">159</w:t>
            </w:r>
          </w:p>
        </w:tc>
        <w:tc>
          <w:tcPr>
            <w:tcW w:w="850" w:type="dxa"/>
          </w:tcPr>
          <w:p>
            <w:pPr/>
            <w:r>
              <w:t xml:space="preserve">251</w:t>
            </w:r>
          </w:p>
        </w:tc>
        <w:tc>
          <w:tcPr>
            <w:tcW w:w="850" w:type="dxa"/>
          </w:tcPr>
          <w:p>
            <w:pPr/>
            <w:r>
              <w:t xml:space="preserve">6,134</w:t>
            </w:r>
          </w:p>
        </w:tc>
        <w:tc>
          <w:tcPr>
            <w:tcW w:w="850" w:type="dxa"/>
          </w:tcPr>
          <w:p>
            <w:pPr/>
            <w:r>
              <w:t xml:space="preserve">0.75</w:t>
            </w:r>
          </w:p>
        </w:tc>
        <w:tc>
          <w:tcPr>
            <w:tcW w:w="850" w:type="dxa"/>
          </w:tcPr>
          <w:p>
            <w:pPr/>
            <w:r>
              <w:t xml:space="preserve">2.59</w:t>
            </w:r>
          </w:p>
        </w:tc>
        <w:tc>
          <w:tcPr>
            <w:tcW w:w="850" w:type="dxa"/>
          </w:tcPr>
          <w:p>
            <w:pPr/>
            <w:r>
              <w:t xml:space="preserve">1.3</w:t>
            </w:r>
          </w:p>
        </w:tc>
        <w:tc>
          <w:tcPr>
            <w:tcW w:w="850" w:type="dxa"/>
          </w:tcPr>
          <w:p>
            <w:pPr/>
            <w:r>
              <w:t xml:space="preserve">39</w:t>
            </w:r>
          </w:p>
        </w:tc>
        <w:tc>
          <w:tcPr>
            <w:tcW w:w="850" w:type="dxa"/>
          </w:tcPr>
          <w:p>
            <w:pPr/>
            <w:r>
              <w:t xml:space="preserve">81</w:t>
            </w:r>
          </w:p>
        </w:tc>
      </w:tr>
      <w:tr>
        <w:tc>
          <w:tcPr>
            <w:tcW w:w="850" w:type="dxa"/>
          </w:tcPr>
          <w:p>
            <w:pPr/>
            <w:r>
              <w:t xml:space="preserve">2025Q1</w:t>
            </w:r>
          </w:p>
        </w:tc>
        <w:tc>
          <w:tcPr>
            <w:tcW w:w="850" w:type="dxa"/>
          </w:tcPr>
          <w:p>
            <w:pPr/>
            <w:r>
              <w:t xml:space="preserve">28</w:t>
            </w:r>
          </w:p>
        </w:tc>
        <w:tc>
          <w:tcPr>
            <w:tcW w:w="850" w:type="dxa"/>
          </w:tcPr>
          <w:p>
            <w:pPr/>
            <w:r>
              <w:t xml:space="preserve">36</w:t>
            </w:r>
          </w:p>
        </w:tc>
        <w:tc>
          <w:tcPr>
            <w:tcW w:w="850" w:type="dxa"/>
          </w:tcPr>
          <w:p>
            <w:pPr/>
            <w:r>
              <w:t xml:space="preserve">76</w:t>
            </w:r>
          </w:p>
        </w:tc>
        <w:tc>
          <w:tcPr>
            <w:tcW w:w="850" w:type="dxa"/>
          </w:tcPr>
          <w:p>
            <w:pPr/>
            <w:r>
              <w:t xml:space="preserve">45</w:t>
            </w:r>
          </w:p>
        </w:tc>
        <w:tc>
          <w:tcPr>
            <w:tcW w:w="850" w:type="dxa"/>
          </w:tcPr>
          <w:p>
            <w:pPr/>
            <w:r>
              <w:t xml:space="preserve">3,338</w:t>
            </w:r>
          </w:p>
        </w:tc>
        <w:tc>
          <w:tcPr>
            <w:tcW w:w="850" w:type="dxa"/>
          </w:tcPr>
          <w:p>
            <w:pPr/>
            <w:r>
              <w:t xml:space="preserve">0.80</w:t>
            </w:r>
          </w:p>
        </w:tc>
        <w:tc>
          <w:tcPr>
            <w:tcW w:w="850" w:type="dxa"/>
          </w:tcPr>
          <w:p>
            <w:pPr/>
            <w:r>
              <w:t xml:space="preserve">2.28</w:t>
            </w:r>
          </w:p>
        </w:tc>
        <w:tc>
          <w:tcPr>
            <w:tcW w:w="850" w:type="dxa"/>
          </w:tcPr>
          <w:p>
            <w:pPr/>
            <w:r>
              <w:t xml:space="preserve">1.3</w:t>
            </w:r>
          </w:p>
        </w:tc>
        <w:tc>
          <w:tcPr>
            <w:tcW w:w="850" w:type="dxa"/>
          </w:tcPr>
          <w:p>
            <w:pPr/>
            <w:r>
              <w:t xml:space="preserve">44</w:t>
            </w:r>
          </w:p>
        </w:tc>
        <w:tc>
          <w:tcPr>
            <w:tcW w:w="850" w:type="dxa"/>
          </w:tcPr>
          <w:p>
            <w:pPr/>
            <w:r>
              <w:t xml:space="preserve">53</w:t>
            </w:r>
          </w:p>
        </w:tc>
      </w:tr>
      <w:tr>
        <w:tc>
          <w:tcPr>
            <w:tcW w:w="850" w:type="dxa"/>
          </w:tcPr>
          <w:p>
            <w:pPr/>
            <w:r>
              <w:t xml:space="preserve">2025Q2</w:t>
            </w:r>
          </w:p>
        </w:tc>
        <w:tc>
          <w:tcPr>
            <w:tcW w:w="850" w:type="dxa"/>
          </w:tcPr>
          <w:p>
            <w:pPr/>
            <w:r>
              <w:t xml:space="preserve">9</w:t>
            </w:r>
          </w:p>
        </w:tc>
        <w:tc>
          <w:tcPr>
            <w:tcW w:w="850" w:type="dxa"/>
          </w:tcPr>
          <w:p>
            <w:pPr/>
            <w:r>
              <w:t xml:space="preserve">11</w:t>
            </w:r>
          </w:p>
        </w:tc>
        <w:tc>
          <w:tcPr>
            <w:tcW w:w="850" w:type="dxa"/>
          </w:tcPr>
          <w:p>
            <w:pPr/>
            <w:r>
              <w:t xml:space="preserve">12</w:t>
            </w:r>
          </w:p>
        </w:tc>
        <w:tc>
          <w:tcPr>
            <w:tcW w:w="850" w:type="dxa"/>
          </w:tcPr>
          <w:p>
            <w:pPr/>
            <w:r>
              <w:t xml:space="preserve">26</w:t>
            </w:r>
          </w:p>
        </w:tc>
        <w:tc>
          <w:tcPr>
            <w:tcW w:w="850" w:type="dxa"/>
          </w:tcPr>
          <w:p>
            <w:pPr/>
            <w:r>
              <w:t xml:space="preserve">2,379</w:t>
            </w:r>
          </w:p>
        </w:tc>
        <w:tc>
          <w:tcPr>
            <w:tcW w:w="850" w:type="dxa"/>
          </w:tcPr>
          <w:p>
            <w:pPr/>
            <w:r>
              <w:t xml:space="preserve">0.42</w:t>
            </w:r>
          </w:p>
        </w:tc>
        <w:tc>
          <w:tcPr>
            <w:tcW w:w="850" w:type="dxa"/>
          </w:tcPr>
          <w:p>
            <w:pPr/>
            <w:r>
              <w:t xml:space="preserve">0.50</w:t>
            </w:r>
          </w:p>
        </w:tc>
        <w:tc>
          <w:tcPr>
            <w:tcW w:w="850" w:type="dxa"/>
          </w:tcPr>
          <w:p>
            <w:pPr/>
            <w:r>
              <w:t xml:space="preserve">2.4</w:t>
            </w:r>
          </w:p>
        </w:tc>
        <w:tc>
          <w:tcPr>
            <w:tcW w:w="850" w:type="dxa"/>
          </w:tcPr>
          <w:p>
            <w:pPr/>
            <w:r>
              <w:t xml:space="preserve">200</w:t>
            </w:r>
          </w:p>
        </w:tc>
        <w:tc>
          <w:tcPr>
            <w:tcW w:w="850" w:type="dxa"/>
          </w:tcPr>
          <w:p>
            <w:pPr/>
            <w:r>
              <w:t xml:space="preserve">67</w:t>
            </w:r>
          </w:p>
        </w:tc>
      </w:tr>
      <w:tr>
        <w:tc>
          <w:tcPr>
            <w:tcW w:w="850" w:type="dxa"/>
          </w:tcPr>
          <w:p>
            <w:pPr/>
            <w:r>
              <w:t xml:space="preserve">2025Q3</w:t>
            </w:r>
          </w:p>
        </w:tc>
        <w:tc>
          <w:tcPr>
            <w:tcW w:w="850" w:type="dxa"/>
          </w:tcPr>
          <w:p>
            <w:pPr/>
            <w:r>
              <w:t xml:space="preserve">6</w:t>
            </w:r>
          </w:p>
        </w:tc>
        <w:tc>
          <w:tcPr>
            <w:tcW w:w="850" w:type="dxa"/>
          </w:tcPr>
          <w:p>
            <w:pPr/>
            <w:r>
              <w:t xml:space="preserve">8</w:t>
            </w:r>
          </w:p>
        </w:tc>
        <w:tc>
          <w:tcPr>
            <w:tcW w:w="850" w:type="dxa"/>
          </w:tcPr>
          <w:p>
            <w:pPr/>
            <w:r>
              <w:t xml:space="preserve">14</w:t>
            </w:r>
          </w:p>
        </w:tc>
        <w:tc>
          <w:tcPr>
            <w:tcW w:w="850" w:type="dxa"/>
          </w:tcPr>
          <w:p>
            <w:pPr/>
            <w:r>
              <w:t xml:space="preserve">25</w:t>
            </w:r>
          </w:p>
        </w:tc>
        <w:tc>
          <w:tcPr>
            <w:tcW w:w="850" w:type="dxa"/>
          </w:tcPr>
          <w:p>
            <w:pPr/>
            <w:r>
              <w:t xml:space="preserve">2,092</w:t>
            </w:r>
          </w:p>
        </w:tc>
        <w:tc>
          <w:tcPr>
            <w:tcW w:w="850" w:type="dxa"/>
          </w:tcPr>
          <w:p>
            <w:pPr/>
            <w:r>
              <w:t xml:space="preserve">0.31</w:t>
            </w:r>
          </w:p>
        </w:tc>
        <w:tc>
          <w:tcPr>
            <w:tcW w:w="850" w:type="dxa"/>
          </w:tcPr>
          <w:p>
            <w:pPr/>
            <w:r>
              <w:t xml:space="preserve">0.67</w:t>
            </w:r>
          </w:p>
        </w:tc>
        <w:tc>
          <w:tcPr>
            <w:tcW w:w="850" w:type="dxa"/>
          </w:tcPr>
          <w:p>
            <w:pPr/>
            <w:r>
              <w:t xml:space="preserve">3.2</w:t>
            </w:r>
          </w:p>
        </w:tc>
        <w:tc>
          <w:tcPr>
            <w:tcW w:w="850" w:type="dxa"/>
          </w:tcPr>
          <w:p>
            <w:pPr/>
            <w:r>
              <w:t xml:space="preserve">149</w:t>
            </w:r>
          </w:p>
        </w:tc>
        <w:tc>
          <w:tcPr>
            <w:tcW w:w="850" w:type="dxa"/>
          </w:tcPr>
          <w:p>
            <w:pPr/>
            <w:r>
              <w:t xml:space="preserve">66</w:t>
            </w:r>
          </w:p>
        </w:tc>
      </w:tr>
      <w:tr>
        <w:tc>
          <w:tcPr>
            <w:tcW w:w="850" w:type="dxa"/>
          </w:tcPr>
          <w:p>
            <w:pPr/>
            <w:r>
              <w:t xml:space="preserve">2025Q4</w:t>
            </w:r>
          </w:p>
        </w:tc>
        <w:tc>
          <w:tcPr>
            <w:tcW w:w="850" w:type="dxa"/>
          </w:tcPr>
          <w:p>
            <w:pPr/>
            <w:r>
              <w:t xml:space="preserve">8</w:t>
            </w:r>
          </w:p>
        </w:tc>
        <w:tc>
          <w:tcPr>
            <w:tcW w:w="850" w:type="dxa"/>
          </w:tcPr>
          <w:p>
            <w:pPr/>
            <w:r>
              <w:t xml:space="preserve">10</w:t>
            </w:r>
          </w:p>
        </w:tc>
        <w:tc>
          <w:tcPr>
            <w:tcW w:w="850" w:type="dxa"/>
          </w:tcPr>
          <w:p>
            <w:pPr/>
            <w:r>
              <w:t xml:space="preserve">10</w:t>
            </w:r>
          </w:p>
        </w:tc>
        <w:tc>
          <w:tcPr>
            <w:tcW w:w="850" w:type="dxa"/>
          </w:tcPr>
          <w:p>
            <w:pPr/>
            <w:r>
              <w:t xml:space="preserve">35</w:t>
            </w:r>
          </w:p>
        </w:tc>
        <w:tc>
          <w:tcPr>
            <w:tcW w:w="850" w:type="dxa"/>
          </w:tcPr>
          <w:p>
            <w:pPr/>
            <w:r>
              <w:t xml:space="preserve">2,322</w:t>
            </w:r>
          </w:p>
        </w:tc>
        <w:tc>
          <w:tcPr>
            <w:tcW w:w="850" w:type="dxa"/>
          </w:tcPr>
          <w:p>
            <w:pPr/>
            <w:r>
              <w:t xml:space="preserve">0.30</w:t>
            </w:r>
          </w:p>
        </w:tc>
        <w:tc>
          <w:tcPr>
            <w:tcW w:w="850" w:type="dxa"/>
          </w:tcPr>
          <w:p>
            <w:pPr/>
            <w:r>
              <w:t xml:space="preserve">0.43</w:t>
            </w:r>
          </w:p>
        </w:tc>
        <w:tc>
          <w:tcPr>
            <w:tcW w:w="850" w:type="dxa"/>
          </w:tcPr>
          <w:p>
            <w:pPr/>
            <w:r>
              <w:t xml:space="preserve">3.4</w:t>
            </w:r>
          </w:p>
        </w:tc>
        <w:tc>
          <w:tcPr>
            <w:tcW w:w="850" w:type="dxa"/>
          </w:tcPr>
          <w:p>
            <w:pPr/>
            <w:r>
              <w:t xml:space="preserve">234</w:t>
            </w:r>
          </w:p>
        </w:tc>
        <w:tc>
          <w:tcPr>
            <w:tcW w:w="850" w:type="dxa"/>
          </w:tcPr>
          <w:p>
            <w:pPr/>
            <w:r>
              <w:t xml:space="preserve">71</w:t>
            </w:r>
          </w:p>
        </w:tc>
      </w:tr>
    </w:tbl>
    <w:p>
      <w:pPr/>
      <w:r>
        <w:t xml:space="preserve">Peak HHS census was 11,516 (20 Dec 2023) and peak daily discharges were 505 (31 Aug 2023). The latest census (21 Dec 2025) is 2,484.</w:t>
      </w:r>
    </w:p>
    <w:p>
      <w:pPr/>
      <w:r>
        <w:rPr>
          <w:i/>
        </w:rPr>
        <w:t xml:space="preserve">Figures: fig1_pipeline_flows.png, fig2_dwell_los.png, fig3_efficiency_ratios.png (in the project's figures folder).</w:t>
      </w:r>
    </w:p>
    <w:p>
      <w:pPr>
        <w:pStyle w:val="Heading3"/>
      </w:pPr>
      <w:r>
        <w:t xml:space="preserve">4.2 RQ1: How efficiently do children move from CBP to HHS?</w:t>
      </w:r>
    </w:p>
    <w:p>
      <w:pPr/>
      <w:r>
        <w:t xml:space="preserve">Through 2024, the CBP stage was stable and fast: TER 0.74–0.88 and implied dwell of 1.1–1.4 days, even at volumes above 150 apprehensions per day. After the February 2025 regime shift, TER fell to 0.42, 0.31 and 0.30 (Q2–Q4 2025) while volume collapsed. Implied dwell reached 3.4 days in Q4 2025, roughly 81 hours. About 48% of records from April 2025 onward show a rolling dwell estimate above 3 days.</w:t>
      </w:r>
    </w:p>
    <w:p>
      <w:pPr/>
      <w:r>
        <w:t xml:space="preserve">This is the counter-intuitive core result. A smaller load should move faster. Instead the CBP stage is less efficient at 8 children per day than it was at 150.</w:t>
      </w:r>
    </w:p>
    <w:p>
      <w:pPr/>
      <w:r>
        <w:rPr>
          <w:b/>
        </w:rPr>
        <w:t xml:space="preserve">Operating-regime comparison</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Regime (28-record mean intake)</w:t>
            </w:r>
          </w:p>
        </w:tc>
        <w:tc>
          <w:tcPr>
            <w:tcW w:w="1560" w:type="dxa"/>
            <w:shd w:val="clear" w:color="auto" w:fill="F2F2F2"/>
          </w:tcPr>
          <w:p>
            <w:pPr/>
            <w:r>
              <w:t xml:space="preserve">Records</w:t>
            </w:r>
          </w:p>
        </w:tc>
        <w:tc>
          <w:tcPr>
            <w:tcW w:w="1560" w:type="dxa"/>
            <w:shd w:val="clear" w:color="auto" w:fill="F2F2F2"/>
          </w:tcPr>
          <w:p>
            <w:pPr/>
            <w:r>
              <w:t xml:space="preserve">HHS census</w:t>
            </w:r>
          </w:p>
        </w:tc>
        <w:tc>
          <w:tcPr>
            <w:tcW w:w="1560" w:type="dxa"/>
            <w:shd w:val="clear" w:color="auto" w:fill="F2F2F2"/>
          </w:tcPr>
          <w:p>
            <w:pPr/>
            <w:r>
              <w:t xml:space="preserve">TER</w:t>
            </w:r>
          </w:p>
        </w:tc>
        <w:tc>
          <w:tcPr>
            <w:tcW w:w="1560" w:type="dxa"/>
            <w:shd w:val="clear" w:color="auto" w:fill="F2F2F2"/>
          </w:tcPr>
          <w:p>
            <w:pPr/>
            <w:r>
              <w:t xml:space="preserve">DEI (%/day)</w:t>
            </w:r>
          </w:p>
        </w:tc>
        <w:tc>
          <w:tcPr>
            <w:tcW w:w="1560" w:type="dxa"/>
            <w:shd w:val="clear" w:color="auto" w:fill="F2F2F2"/>
          </w:tcPr>
          <w:p>
            <w:pPr/>
            <w:r>
              <w:t xml:space="preserve">HHS LOS (d)</w:t>
            </w:r>
          </w:p>
        </w:tc>
      </w:tr>
      <w:tr>
        <w:tc>
          <w:tcPr>
            <w:tcW w:w="1560" w:type="dxa"/>
          </w:tcPr>
          <w:p>
            <w:pPr/>
            <w:r>
              <w:t xml:space="preserve">High (&gt;75/day)</w:t>
            </w:r>
          </w:p>
        </w:tc>
        <w:tc>
          <w:tcPr>
            <w:tcW w:w="1560" w:type="dxa"/>
          </w:tcPr>
          <w:p>
            <w:pPr/>
            <w:r>
              <w:t xml:space="preserve">476</w:t>
            </w:r>
          </w:p>
        </w:tc>
        <w:tc>
          <w:tcPr>
            <w:tcW w:w="1560" w:type="dxa"/>
          </w:tcPr>
          <w:p>
            <w:pPr/>
            <w:r>
              <w:t xml:space="preserve">7,703</w:t>
            </w:r>
          </w:p>
        </w:tc>
        <w:tc>
          <w:tcPr>
            <w:tcW w:w="1560" w:type="dxa"/>
          </w:tcPr>
          <w:p>
            <w:pPr/>
            <w:r>
              <w:t xml:space="preserve">0.77</w:t>
            </w:r>
          </w:p>
        </w:tc>
        <w:tc>
          <w:tcPr>
            <w:tcW w:w="1560" w:type="dxa"/>
          </w:tcPr>
          <w:p>
            <w:pPr/>
            <w:r>
              <w:t xml:space="preserve">3.1</w:t>
            </w:r>
          </w:p>
        </w:tc>
        <w:tc>
          <w:tcPr>
            <w:tcW w:w="1560" w:type="dxa"/>
          </w:tcPr>
          <w:p>
            <w:pPr/>
            <w:r>
              <w:t xml:space="preserve">32</w:t>
            </w:r>
          </w:p>
        </w:tc>
      </w:tr>
      <w:tr>
        <w:tc>
          <w:tcPr>
            <w:tcW w:w="1560" w:type="dxa"/>
          </w:tcPr>
          <w:p>
            <w:pPr/>
            <w:r>
              <w:t xml:space="preserve">Moderate (20–75/day)</w:t>
            </w:r>
          </w:p>
        </w:tc>
        <w:tc>
          <w:tcPr>
            <w:tcW w:w="1560" w:type="dxa"/>
          </w:tcPr>
          <w:p>
            <w:pPr/>
            <w:r>
              <w:t xml:space="preserve">36</w:t>
            </w:r>
          </w:p>
        </w:tc>
        <w:tc>
          <w:tcPr>
            <w:tcW w:w="1560" w:type="dxa"/>
          </w:tcPr>
          <w:p>
            <w:pPr/>
            <w:r>
              <w:t xml:space="preserve">4,476</w:t>
            </w:r>
          </w:p>
        </w:tc>
        <w:tc>
          <w:tcPr>
            <w:tcW w:w="1560" w:type="dxa"/>
          </w:tcPr>
          <w:p>
            <w:pPr/>
            <w:r>
              <w:t xml:space="preserve">0.81</w:t>
            </w:r>
          </w:p>
        </w:tc>
        <w:tc>
          <w:tcPr>
            <w:tcW w:w="1560" w:type="dxa"/>
          </w:tcPr>
          <w:p>
            <w:pPr/>
            <w:r>
              <w:t xml:space="preserve">3.1</w:t>
            </w:r>
          </w:p>
        </w:tc>
        <w:tc>
          <w:tcPr>
            <w:tcW w:w="1560" w:type="dxa"/>
          </w:tcPr>
          <w:p>
            <w:pPr/>
            <w:r>
              <w:t xml:space="preserve">32</w:t>
            </w:r>
          </w:p>
        </w:tc>
      </w:tr>
      <w:tr>
        <w:tc>
          <w:tcPr>
            <w:tcW w:w="1560" w:type="dxa"/>
          </w:tcPr>
          <w:p>
            <w:pPr/>
            <w:r>
              <w:t xml:space="preserve">Low (&lt;20/day)</w:t>
            </w:r>
          </w:p>
        </w:tc>
        <w:tc>
          <w:tcPr>
            <w:tcW w:w="1560" w:type="dxa"/>
          </w:tcPr>
          <w:p>
            <w:pPr/>
            <w:r>
              <w:t xml:space="preserve">195</w:t>
            </w:r>
          </w:p>
        </w:tc>
        <w:tc>
          <w:tcPr>
            <w:tcW w:w="1560" w:type="dxa"/>
          </w:tcPr>
          <w:p>
            <w:pPr/>
            <w:r>
              <w:t xml:space="preserve">2,247</w:t>
            </w:r>
          </w:p>
        </w:tc>
        <w:tc>
          <w:tcPr>
            <w:tcW w:w="1560" w:type="dxa"/>
          </w:tcPr>
          <w:p>
            <w:pPr/>
            <w:r>
              <w:t xml:space="preserve">0.34</w:t>
            </w:r>
          </w:p>
        </w:tc>
        <w:tc>
          <w:tcPr>
            <w:tcW w:w="1560" w:type="dxa"/>
          </w:tcPr>
          <w:p>
            <w:pPr/>
            <w:r>
              <w:t xml:space="preserve">0.5</w:t>
            </w:r>
          </w:p>
        </w:tc>
        <w:tc>
          <w:tcPr>
            <w:tcW w:w="1560" w:type="dxa"/>
          </w:tcPr>
          <w:p>
            <w:pPr/>
            <w:r>
              <w:t xml:space="preserve">187</w:t>
            </w:r>
          </w:p>
        </w:tc>
      </w:tr>
    </w:tbl>
    <w:p>
      <w:pPr/>
      <w:r>
        <w:t xml:space="preserve">Efficiency was effectively constant across high and moderate volumes and fell sharply only in the low-volume regime. That pattern points to </w:t>
      </w:r>
      <w:r>
        <w:rPr>
          <w:b/>
        </w:rPr>
        <w:t xml:space="preserve">process or policy change, not load</w:t>
      </w:r>
      <w:r>
        <w:t xml:space="preserve">.</w:t>
      </w:r>
    </w:p>
    <w:p>
      <w:pPr/>
      <w:r>
        <w:rPr>
          <w:i/>
        </w:rPr>
        <w:t xml:space="preserve">Caveat:</w:t>
      </w:r>
      <w:r>
        <w:t xml:space="preserve"> the 72-hour comparison uses a population-average estimate. A mean near 72 hours implies a meaningful share of children exceed it, but child-level timestamps are needed to say how many.</w:t>
      </w:r>
    </w:p>
    <w:p>
      <w:pPr>
        <w:pStyle w:val="Heading3"/>
      </w:pPr>
      <w:r>
        <w:t xml:space="preserve">4.3 RQ2: Are discharges keeping pace with inflows?</w:t>
      </w:r>
    </w:p>
    <w:p>
      <w:pPr/>
      <w:r>
        <w:rPr>
          <w:b/>
        </w:rPr>
        <w:t xml:space="preserve">Stage throughput (discharges ÷ transfers)</w:t>
      </w:r>
    </w:p>
    <w:p>
      <w:pPr>
        <w:pStyle w:val="ListParagraph"/>
        <w:numPr>
          <w:ilvl w:val="0"/>
          <w:numId w:val="5"/>
        </w:numPr>
      </w:pPr>
      <w:r>
        <w:t xml:space="preserve">2023: 1.5–2.5, so the HHS stage was draining faster than it filled (the system worked down a surge).</w:t>
      </w:r>
    </w:p>
    <w:p>
      <w:pPr>
        <w:pStyle w:val="ListParagraph"/>
        <w:numPr>
          <w:ilvl w:val="0"/>
          <w:numId w:val="5"/>
        </w:numPr>
      </w:pPr>
      <w:r>
        <w:t xml:space="preserve">2024Q2–Q4: 0.90, 0.95 and 0.84, so discharges lagged inflow.</w:t>
      </w:r>
    </w:p>
    <w:p>
      <w:pPr>
        <w:pStyle w:val="ListParagraph"/>
        <w:numPr>
          <w:ilvl w:val="0"/>
          <w:numId w:val="5"/>
        </w:numPr>
      </w:pPr>
      <w:r>
        <w:t xml:space="preserve">2025Q2–Q4: 1.1, 1.8 and 1.0, so discharges roughly match inflow, but at a tiny scale.</w:t>
      </w:r>
    </w:p>
    <w:p>
      <w:pPr/>
      <w:r>
        <w:t xml:space="preserve">The more important signal is the </w:t>
      </w:r>
      <w:r>
        <w:rPr>
          <w:i/>
        </w:rPr>
        <w:t xml:space="preserve">rate</w:t>
      </w:r>
      <w:r>
        <w:t xml:space="preserve"> of discharge relative to census. DEI fell 87%, from 3.25% per day (Q4 2023) to 0.43% (Q4 2025). Between Q4 2024 and Q4 2025, intake fell 95% and discharges fell 94%, but the HHS census fell only 62% (6,134 → 2,322). Discharges fell in lockstep with intake, which left a residual population that is </w:t>
      </w:r>
      <w:r>
        <w:rPr>
          <w:b/>
        </w:rPr>
        <w:t xml:space="preserve">not turning over</w:t>
      </w:r>
      <w:r>
        <w:t xml:space="preserve">. Implied length of stay rose roughly six-fold, from 39 days to 234 days.</w:t>
      </w:r>
    </w:p>
    <w:p>
      <w:pPr/>
      <w:r>
        <w:rPr>
          <w:i/>
        </w:rPr>
        <w:t xml:space="preserve">Interpretation, stated as hypotheses to test with case-level data (not established by this dataset):</w:t>
      </w:r>
      <w:r>
        <w:t xml:space="preserve"> (a) tighter sponsor vetting and verification requirements lengthen each case; (b) the remaining census is dominated by long-stay or hard-to-place cases because new, easily placed cases no longer enter; (c) reduced grantee and case-management throughput as capacity contracts.</w:t>
      </w:r>
    </w:p>
    <w:p>
      <w:pPr>
        <w:pStyle w:val="Heading3"/>
      </w:pPr>
      <w:r>
        <w:t xml:space="preserve">4.4 RQ3: When and where do backlogs accumulate?</w:t>
      </w:r>
    </w:p>
    <w:p>
      <w:pPr/>
      <w:r>
        <w:t xml:space="preserve">Using census-anchored detection (14-record mean inflow above outflow for at least 14 consecutive records), nine episodes appear: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Episode</w:t>
            </w:r>
          </w:p>
        </w:tc>
        <w:tc>
          <w:tcPr>
            <w:tcW w:w="3120" w:type="dxa"/>
            <w:shd w:val="clear" w:color="auto" w:fill="F2F2F2"/>
          </w:tcPr>
          <w:p>
            <w:pPr/>
            <w:r>
              <w:t xml:space="preserve">Records</w:t>
            </w:r>
          </w:p>
        </w:tc>
        <w:tc>
          <w:tcPr>
            <w:tcW w:w="3120" w:type="dxa"/>
            <w:shd w:val="clear" w:color="auto" w:fill="F2F2F2"/>
          </w:tcPr>
          <w:p>
            <w:pPr/>
            <w:r>
              <w:t xml:space="preserve">Avg net inflow/day</w:t>
            </w:r>
          </w:p>
        </w:tc>
      </w:tr>
      <w:tr>
        <w:tc>
          <w:tcPr>
            <w:tcW w:w="3120" w:type="dxa"/>
          </w:tcPr>
          <w:p>
            <w:pPr/>
            <w:r>
              <w:t xml:space="preserve">13 Feb – 20 Mar 2024</w:t>
            </w:r>
          </w:p>
        </w:tc>
        <w:tc>
          <w:tcPr>
            <w:tcW w:w="3120" w:type="dxa"/>
          </w:tcPr>
          <w:p>
            <w:pPr/>
            <w:r>
              <w:t xml:space="preserve">26</w:t>
            </w:r>
          </w:p>
        </w:tc>
        <w:tc>
          <w:tcPr>
            <w:tcW w:w="3120" w:type="dxa"/>
          </w:tcPr>
          <w:p>
            <w:pPr/>
            <w:r>
              <w:t xml:space="preserve">+30</w:t>
            </w:r>
          </w:p>
        </w:tc>
      </w:tr>
      <w:tr>
        <w:tc>
          <w:tcPr>
            <w:tcW w:w="3120" w:type="dxa"/>
          </w:tcPr>
          <w:p>
            <w:pPr/>
            <w:r>
              <w:t xml:space="preserve">23 Apr – 24 Jun 2024</w:t>
            </w:r>
          </w:p>
        </w:tc>
        <w:tc>
          <w:tcPr>
            <w:tcW w:w="3120" w:type="dxa"/>
          </w:tcPr>
          <w:p>
            <w:pPr/>
            <w:r>
              <w:t xml:space="preserve">44</w:t>
            </w:r>
          </w:p>
        </w:tc>
        <w:tc>
          <w:tcPr>
            <w:tcW w:w="3120" w:type="dxa"/>
          </w:tcPr>
          <w:p>
            <w:pPr/>
            <w:r>
              <w:t xml:space="preserve">+37</w:t>
            </w:r>
          </w:p>
        </w:tc>
      </w:tr>
      <w:tr>
        <w:tc>
          <w:tcPr>
            <w:tcW w:w="3120" w:type="dxa"/>
          </w:tcPr>
          <w:p>
            <w:pPr/>
            <w:r>
              <w:t xml:space="preserve">6 Aug – 22 Sep 2024</w:t>
            </w:r>
          </w:p>
        </w:tc>
        <w:tc>
          <w:tcPr>
            <w:tcW w:w="3120" w:type="dxa"/>
          </w:tcPr>
          <w:p>
            <w:pPr/>
            <w:r>
              <w:t xml:space="preserve">32</w:t>
            </w:r>
          </w:p>
        </w:tc>
        <w:tc>
          <w:tcPr>
            <w:tcW w:w="3120" w:type="dxa"/>
          </w:tcPr>
          <w:p>
            <w:pPr/>
            <w:r>
              <w:t xml:space="preserve">+21</w:t>
            </w:r>
          </w:p>
        </w:tc>
      </w:tr>
      <w:tr>
        <w:tc>
          <w:tcPr>
            <w:tcW w:w="3120" w:type="dxa"/>
          </w:tcPr>
          <w:p>
            <w:pPr/>
            <w:r>
              <w:t xml:space="preserve">1 Oct 2024 – 1 Jan 2025</w:t>
            </w:r>
          </w:p>
        </w:tc>
        <w:tc>
          <w:tcPr>
            <w:tcW w:w="3120" w:type="dxa"/>
          </w:tcPr>
          <w:p>
            <w:pPr/>
            <w:r>
              <w:t xml:space="preserve">63</w:t>
            </w:r>
          </w:p>
        </w:tc>
        <w:tc>
          <w:tcPr>
            <w:tcW w:w="3120" w:type="dxa"/>
          </w:tcPr>
          <w:p>
            <w:pPr/>
            <w:r>
              <w:t xml:space="preserve">+28</w:t>
            </w:r>
          </w:p>
        </w:tc>
      </w:tr>
      <w:tr>
        <w:tc>
          <w:tcPr>
            <w:tcW w:w="3120" w:type="dxa"/>
          </w:tcPr>
          <w:p>
            <w:pPr/>
            <w:r>
              <w:t xml:space="preserve">27 Mar – 28 Apr 2025</w:t>
            </w:r>
          </w:p>
        </w:tc>
        <w:tc>
          <w:tcPr>
            <w:tcW w:w="3120" w:type="dxa"/>
          </w:tcPr>
          <w:p>
            <w:pPr/>
            <w:r>
              <w:t xml:space="preserve">24</w:t>
            </w:r>
          </w:p>
        </w:tc>
        <w:tc>
          <w:tcPr>
            <w:tcW w:w="3120" w:type="dxa"/>
          </w:tcPr>
          <w:p>
            <w:pPr/>
            <w:r>
              <w:t xml:space="preserve">+2</w:t>
            </w:r>
          </w:p>
        </w:tc>
      </w:tr>
      <w:tr>
        <w:tc>
          <w:tcPr>
            <w:tcW w:w="3120" w:type="dxa"/>
          </w:tcPr>
          <w:p>
            <w:pPr/>
            <w:r>
              <w:t xml:space="preserve">7 May – 3 Jun 2025</w:t>
            </w:r>
          </w:p>
        </w:tc>
        <w:tc>
          <w:tcPr>
            <w:tcW w:w="3120" w:type="dxa"/>
          </w:tcPr>
          <w:p>
            <w:pPr/>
            <w:r>
              <w:t xml:space="preserve">17</w:t>
            </w:r>
          </w:p>
        </w:tc>
        <w:tc>
          <w:tcPr>
            <w:tcW w:w="3120" w:type="dxa"/>
          </w:tcPr>
          <w:p>
            <w:pPr/>
            <w:r>
              <w:t xml:space="preserve">+2</w:t>
            </w:r>
          </w:p>
        </w:tc>
      </w:tr>
      <w:tr>
        <w:tc>
          <w:tcPr>
            <w:tcW w:w="3120" w:type="dxa"/>
          </w:tcPr>
          <w:p>
            <w:pPr/>
            <w:r>
              <w:t xml:space="preserve">14 Sep – 1 Oct 2025</w:t>
            </w:r>
          </w:p>
        </w:tc>
        <w:tc>
          <w:tcPr>
            <w:tcW w:w="3120" w:type="dxa"/>
          </w:tcPr>
          <w:p>
            <w:pPr/>
            <w:r>
              <w:t xml:space="preserve">14</w:t>
            </w:r>
          </w:p>
        </w:tc>
        <w:tc>
          <w:tcPr>
            <w:tcW w:w="3120" w:type="dxa"/>
          </w:tcPr>
          <w:p>
            <w:pPr/>
            <w:r>
              <w:t xml:space="preserve">+0.2</w:t>
            </w:r>
          </w:p>
        </w:tc>
      </w:tr>
      <w:tr>
        <w:tc>
          <w:tcPr>
            <w:tcW w:w="3120" w:type="dxa"/>
          </w:tcPr>
          <w:p>
            <w:pPr/>
            <w:r>
              <w:t xml:space="preserve">16 Oct – 5 Nov 2025</w:t>
            </w:r>
          </w:p>
        </w:tc>
        <w:tc>
          <w:tcPr>
            <w:tcW w:w="3120" w:type="dxa"/>
          </w:tcPr>
          <w:p>
            <w:pPr/>
            <w:r>
              <w:t xml:space="preserve">15</w:t>
            </w:r>
          </w:p>
        </w:tc>
        <w:tc>
          <w:tcPr>
            <w:tcW w:w="3120" w:type="dxa"/>
          </w:tcPr>
          <w:p>
            <w:pPr/>
            <w:r>
              <w:t xml:space="preserve">+1</w:t>
            </w:r>
          </w:p>
        </w:tc>
      </w:tr>
      <w:tr>
        <w:tc>
          <w:tcPr>
            <w:tcW w:w="3120" w:type="dxa"/>
          </w:tcPr>
          <w:p>
            <w:pPr/>
            <w:r>
              <w:t xml:space="preserve">23 Nov – 11 Dec 2025</w:t>
            </w:r>
          </w:p>
        </w:tc>
        <w:tc>
          <w:tcPr>
            <w:tcW w:w="3120" w:type="dxa"/>
          </w:tcPr>
          <w:p>
            <w:pPr/>
            <w:r>
              <w:t xml:space="preserve">14</w:t>
            </w:r>
          </w:p>
        </w:tc>
        <w:tc>
          <w:tcPr>
            <w:tcW w:w="3120" w:type="dxa"/>
          </w:tcPr>
          <w:p>
            <w:pPr/>
            <w:r>
              <w:t xml:space="preserve">+1</w:t>
            </w:r>
          </w:p>
        </w:tc>
      </w:tr>
    </w:tbl>
    <w:p>
      <w:pPr/>
      <w:r>
        <w:t xml:space="preserve">The 2024 episodes were true queue-building at volume; the longest ran 63 records (Oct 2024 – Jan 2025). The 2025 episodes are small in absolute terms, but they matter because the baseline census does not decline. Two </w:t>
      </w:r>
      <w:r>
        <w:rPr>
          <w:b/>
        </w:rPr>
        <w:t xml:space="preserve">prolonged stagnation</w:t>
      </w:r>
      <w:r>
        <w:t xml:space="preserve"> periods (discharge rate in the historic bottom quartile for at least 14 records) cover 16 Mar – 30 Jun 2025 (70 records) and 22 Jul – 21 Dec 2025 (105 records).</w:t>
      </w:r>
    </w:p>
    <w:p>
      <w:pPr/>
      <w:r>
        <w:rPr>
          <w:b/>
        </w:rPr>
        <w:t xml:space="preserve">Where:</w:t>
      </w:r>
      <w:r>
        <w:t xml:space="preserve"> in 2024 the bottleneck was HHS discharge throughput (CBP dwell stayed at about 1.3 days). In 2025 it shifted to </w:t>
      </w:r>
      <w:r>
        <w:rPr>
          <w:b/>
        </w:rPr>
        <w:t xml:space="preserve">both stages</w:t>
      </w:r>
      <w:r>
        <w:t xml:space="preserve">: CBP dwell rose and HHS length of stay rose. The CBP stage showed no sustained inflow &gt; outflow imbalance in any period, so its slowdown shows up as dwell time rather than queue growth.</w:t>
      </w:r>
    </w:p>
    <w:p>
      <w:pPr>
        <w:pStyle w:val="Heading3"/>
      </w:pPr>
      <w:r>
        <w:t xml:space="preserve">4.5 RQ4: Are placement outcomes improving or deteriorating?</w:t>
      </w:r>
    </w:p>
    <w:p>
      <w:pPr/>
      <w:r>
        <w:rPr>
          <w:b/>
        </w:rPr>
        <w:t xml:space="preserve">Deteriorating, with one structural break.</w:t>
      </w:r>
      <w:r>
        <w:t xml:space="preserve"> Monthly average discharges fell from about 150–166/day (Nov 2024 – Jan 2025) to 61 in February 2025 (−60% MoM) and 14 in March 2025 (−77% MoM), then stayed at roughly 8–19 per day through December 2025. There has been no recovery trend.</w:t>
      </w:r>
    </w:p>
    <w:p>
      <w:pPr/>
      <w:r>
        <w:rPr>
          <w:b/>
        </w:rPr>
        <w:t xml:space="preserve">Sudden drops</w:t>
      </w:r>
      <w:r>
        <w:t xml:space="preserve"> (7-record mean falling more than 35% below the prior 28-record mean): 21 Jun 2023 (−38%), </w:t>
      </w:r>
      <w:r>
        <w:rPr>
          <w:b/>
        </w:rPr>
        <w:t xml:space="preserve">11 Feb 2025 (−41%, the onset of the collapse)</w:t>
      </w:r>
      <w:r>
        <w:t xml:space="preserve">, 4 Aug 2025 (−40%) and 20 Aug 2025 (−38%). The two August 2025 flags occur at 10–14 discharges per day, where small counts amplify percentage swings.</w:t>
      </w:r>
    </w:p>
    <w:p>
      <w:pPr/>
      <w:r>
        <w:rPr>
          <w:b/>
        </w:rPr>
        <w:t xml:space="preserve">Outcome stability.</w:t>
      </w:r>
      <w:r>
        <w:t xml:space="preserve"> OSS was steady at 76–83 through 2024, fell to 53 in Q1 2025, and has recovered to 66–71 since. That raw recovery needs context. A pure random process at 10 discharges per day would already have a CV of about 0.32, so low volumes depress OSS mechanically. Adjusting for this, observed volatility relative to a Poisson baseline was 3.0–5.5× in 2023–24, </w:t>
      </w:r>
      <w:r>
        <w:rPr>
          <w:b/>
        </w:rPr>
        <w:t xml:space="preserve">7.8× in Q1 2025 (the genuine instability event)</w:t>
      </w:r>
      <w:r>
        <w:t xml:space="preserve">, and 1.3–1.9× in Q2–Q4 2025. Discharge counts are now </w:t>
      </w:r>
      <w:r>
        <w:rPr>
          <w:i/>
        </w:rPr>
        <w:t xml:space="preserve">more</w:t>
      </w:r>
      <w:r>
        <w:t xml:space="preserve"> regular relative to noise, but they are regular at a very low level: stable and slow.</w:t>
      </w:r>
    </w:p>
    <w:p>
      <w:pPr>
        <w:pStyle w:val="Heading3"/>
      </w:pPr>
      <w:r>
        <w:t xml:space="preserve">4.6 Temporal pattern: the reporting-day effect</w:t>
      </w:r>
    </w:p>
    <w:p>
      <w:pPr/>
      <w:r>
        <w:t xml:space="preserve">In the high-volume period, average discharges by reporting day were: Tuesday 188, Monday 218, Wednesday 228, Thursday 282 and Sunday 294. The difference is highly significant (Kruskal–Wallis H = 95.5, p &lt; 0.001). TER shows no significant day effect (p = 0.17). Records following an unreported day also carry larger discharge counts (195 vs 167). Together with the census drop across Friday/Saturday gaps, this suggests discharge activity is concentrated around the weekend boundary and is partially batched in reporting. It is a </w:t>
      </w:r>
      <w:r>
        <w:rPr>
          <w:b/>
        </w:rPr>
        <w:t xml:space="preserve">data-reporting finding</w:t>
      </w:r>
      <w:r>
        <w:t xml:space="preserve">, not evidence of a true weekend slowdown.</w:t>
      </w:r>
    </w:p>
    <w:p>
      <w:pPr>
        <w:pStyle w:val="Heading2"/>
      </w:pPr>
      <w:r>
        <w:t xml:space="preserve">5. Recommendations</w:t>
      </w:r>
    </w:p>
    <w:p>
      <w:pPr>
        <w:pStyle w:val="ListParagraph"/>
        <w:numPr>
          <w:ilvl w:val="0"/>
          <w:numId w:val="6"/>
        </w:numPr>
      </w:pPr>
      <w:r>
        <w:rPr>
          <w:b/>
        </w:rPr>
        <w:t xml:space="preserve">Launch a weekly pipeline scorecard</w:t>
      </w:r>
      <w:r>
        <w:t xml:space="preserve"> with the five KPIs and visual alert thresholds (the accompanying Streamlit dashboard). Initial triggers: TER &lt; 0.50, DEI &lt; 1.0%/day, 14-record HHS census growth &gt; 5%, OSS &lt; 65.</w:t>
      </w:r>
    </w:p>
    <w:p>
      <w:pPr>
        <w:pStyle w:val="ListParagraph"/>
        <w:numPr>
          <w:ilvl w:val="0"/>
          <w:numId w:val="6"/>
        </w:numPr>
      </w:pPr>
      <w:r>
        <w:rPr>
          <w:b/>
        </w:rPr>
        <w:t xml:space="preserve">Restore CBP → HHS dwell to ≤ 2.0 days</w:t>
      </w:r>
      <w:r>
        <w:t xml:space="preserve"> (from 3.4 days in Q4 2025; 1.3 days was the 2023–24 norm). Trigger a review whenever the 14-record dwell estimate exceeds 3 days. Pool transfer coordination across sites so that low-volume locations do not wait for individual placements.</w:t>
      </w:r>
    </w:p>
    <w:p>
      <w:pPr>
        <w:pStyle w:val="ListParagraph"/>
        <w:numPr>
          <w:ilvl w:val="0"/>
          <w:numId w:val="6"/>
        </w:numPr>
      </w:pPr>
      <w:r>
        <w:rPr>
          <w:b/>
        </w:rPr>
        <w:t xml:space="preserve">Cut HHS implied length of stay from about 234 days to ≤ 120 days within two quarters and ≤ 90 days within four.</w:t>
      </w:r>
      <w:r>
        <w:t xml:space="preserve"> The 120-day level was achieved in July 2025 (116 days), so the target is demonstrated, not speculative. Treat the 90-day figure as provisional until case-level diagnosis is complete.</w:t>
      </w:r>
    </w:p>
    <w:p>
      <w:pPr>
        <w:pStyle w:val="ListParagraph"/>
        <w:numPr>
          <w:ilvl w:val="0"/>
          <w:numId w:val="6"/>
        </w:numPr>
      </w:pPr>
      <w:r>
        <w:rPr>
          <w:b/>
        </w:rPr>
        <w:t xml:space="preserve">Close the data gaps that make delay undiagnosable.</w:t>
      </w:r>
      <w:r>
        <w:t xml:space="preserve"> Add child-level stage timestamps, discharge type (sponsor category, age-out, other), case stage, and age band. Publish all seven days and reconcile flows to census.</w:t>
      </w:r>
    </w:p>
    <w:p>
      <w:pPr>
        <w:pStyle w:val="ListParagraph"/>
        <w:numPr>
          <w:ilvl w:val="0"/>
          <w:numId w:val="6"/>
        </w:numPr>
      </w:pPr>
      <w:r>
        <w:rPr>
          <w:b/>
        </w:rPr>
        <w:t xml:space="preserve">Build a surge-readiness playbook.</w:t>
      </w:r>
      <w:r>
        <w:t xml:space="preserve"> In 2023–24 the system sustained 270–335 discharges/day at about 30-day length of stay. Define the triggers and surge-flex arrangements needed to return to that capability if intake rebounds.</w:t>
      </w:r>
    </w:p>
    <w:p>
      <w:pPr>
        <w:pStyle w:val="Heading2"/>
      </w:pPr>
      <w:r>
        <w:t xml:space="preserve">6. Execution Roadmap</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Quarter</w:t>
            </w:r>
          </w:p>
        </w:tc>
        <w:tc>
          <w:tcPr>
            <w:tcW w:w="2340" w:type="dxa"/>
            <w:shd w:val="clear" w:color="auto" w:fill="F2F2F2"/>
          </w:tcPr>
          <w:p>
            <w:pPr/>
            <w:r>
              <w:t xml:space="preserve">Action items</w:t>
            </w:r>
          </w:p>
        </w:tc>
        <w:tc>
          <w:tcPr>
            <w:tcW w:w="2340" w:type="dxa"/>
            <w:shd w:val="clear" w:color="auto" w:fill="F2F2F2"/>
          </w:tcPr>
          <w:p>
            <w:pPr/>
            <w:r>
              <w:t xml:space="preserve">KPIs</w:t>
            </w:r>
          </w:p>
        </w:tc>
        <w:tc>
          <w:tcPr>
            <w:tcW w:w="2340" w:type="dxa"/>
            <w:shd w:val="clear" w:color="auto" w:fill="F2F2F2"/>
          </w:tcPr>
          <w:p>
            <w:pPr/>
            <w:r>
              <w:t xml:space="preserve">Expected outcome</w:t>
            </w:r>
          </w:p>
        </w:tc>
      </w:tr>
      <w:tr>
        <w:tc>
          <w:tcPr>
            <w:tcW w:w="2340" w:type="dxa"/>
          </w:tcPr>
          <w:p>
            <w:pPr/>
            <w:r>
              <w:rPr>
                <w:b/>
              </w:rPr>
              <w:t xml:space="preserve">Q1</w:t>
            </w:r>
          </w:p>
        </w:tc>
        <w:tc>
          <w:tcPr>
            <w:tcW w:w="2340" w:type="dxa"/>
          </w:tcPr>
          <w:p>
            <w:pPr/>
            <w:r>
              <w:t xml:space="preserve">Deploy scorecard and alerts; define discharge-type and timestamp data standard; begin seven-day reporting; reconcile flows to census</w:t>
            </w:r>
          </w:p>
        </w:tc>
        <w:tc>
          <w:tcPr>
            <w:tcW w:w="2340" w:type="dxa"/>
          </w:tcPr>
          <w:p>
            <w:pPr/>
            <w:r>
              <w:t xml:space="preserve">Scorecard live weekly; 100% of discharges typed; flow/census correlation &gt; 0.8</w:t>
            </w:r>
          </w:p>
        </w:tc>
        <w:tc>
          <w:tcPr>
            <w:tcW w:w="2340" w:type="dxa"/>
          </w:tcPr>
          <w:p>
            <w:pPr/>
            <w:r>
              <w:t xml:space="preserve">Bottlenecks visible; baseline for case-level diagnosis</w:t>
            </w:r>
          </w:p>
        </w:tc>
      </w:tr>
      <w:tr>
        <w:tc>
          <w:tcPr>
            <w:tcW w:w="2340" w:type="dxa"/>
          </w:tcPr>
          <w:p>
            <w:pPr/>
            <w:r>
              <w:rPr>
                <w:b/>
              </w:rPr>
              <w:t xml:space="preserve">Q2</w:t>
            </w:r>
          </w:p>
        </w:tc>
        <w:tc>
          <w:tcPr>
            <w:tcW w:w="2340" w:type="dxa"/>
          </w:tcPr>
          <w:p>
            <w:pPr/>
            <w:r>
              <w:t xml:space="preserve">Case-level delay diagnostic (vetting steps, sponsor category, age band); pooled CBP transfer coordination pilot</w:t>
            </w:r>
          </w:p>
        </w:tc>
        <w:tc>
          <w:tcPr>
            <w:tcW w:w="2340" w:type="dxa"/>
          </w:tcPr>
          <w:p>
            <w:pPr/>
            <w:r>
              <w:t xml:space="preserve">CBP dwell ≤ 2.5 days; HHS LOS ≤ 180 days; share of children &gt; 72 h at CBP reported</w:t>
            </w:r>
          </w:p>
        </w:tc>
        <w:tc>
          <w:tcPr>
            <w:tcW w:w="2340" w:type="dxa"/>
          </w:tcPr>
          <w:p>
            <w:pPr/>
            <w:r>
              <w:t xml:space="preserve">Root causes ranked by delay-days; first dwell reduction</w:t>
            </w:r>
          </w:p>
        </w:tc>
      </w:tr>
      <w:tr>
        <w:tc>
          <w:tcPr>
            <w:tcW w:w="2340" w:type="dxa"/>
          </w:tcPr>
          <w:p>
            <w:pPr/>
            <w:r>
              <w:rPr>
                <w:b/>
              </w:rPr>
              <w:t xml:space="preserve">Q3</w:t>
            </w:r>
          </w:p>
        </w:tc>
        <w:tc>
          <w:tcPr>
            <w:tcW w:w="2340" w:type="dxa"/>
          </w:tcPr>
          <w:p>
            <w:pPr/>
            <w:r>
              <w:t xml:space="preserve">Remove top-ranked process delays; targeted case-management workflow changes for long-stay cases</w:t>
            </w:r>
          </w:p>
        </w:tc>
        <w:tc>
          <w:tcPr>
            <w:tcW w:w="2340" w:type="dxa"/>
          </w:tcPr>
          <w:p>
            <w:pPr/>
            <w:r>
              <w:t xml:space="preserve">CBP dwell ≤ 2.0 days; HHS LOS ≤ 120 days; DEI ≥ 0.8%/day</w:t>
            </w:r>
          </w:p>
        </w:tc>
        <w:tc>
          <w:tcPr>
            <w:tcW w:w="2340" w:type="dxa"/>
          </w:tcPr>
          <w:p>
            <w:pPr/>
            <w:r>
              <w:t xml:space="preserve">Census declines without added capacity</w:t>
            </w:r>
          </w:p>
        </w:tc>
      </w:tr>
      <w:tr>
        <w:tc>
          <w:tcPr>
            <w:tcW w:w="2340" w:type="dxa"/>
          </w:tcPr>
          <w:p>
            <w:pPr/>
            <w:r>
              <w:rPr>
                <w:b/>
              </w:rPr>
              <w:t xml:space="preserve">Q4</w:t>
            </w:r>
          </w:p>
        </w:tc>
        <w:tc>
          <w:tcPr>
            <w:tcW w:w="2340" w:type="dxa"/>
          </w:tcPr>
          <w:p>
            <w:pPr/>
            <w:r>
              <w:t xml:space="preserve">Institutionalise targets; publish outcome stability and surge triggers; policy review of vetting-to-placement timeline</w:t>
            </w:r>
          </w:p>
        </w:tc>
        <w:tc>
          <w:tcPr>
            <w:tcW w:w="2340" w:type="dxa"/>
          </w:tcPr>
          <w:p>
            <w:pPr/>
            <w:r>
              <w:t xml:space="preserve">HHS LOS ≤ 90 days (provisional); DEI ≥ 1.1%/day; OSS ≥ 70 at a Poisson-adjusted basis</w:t>
            </w:r>
          </w:p>
        </w:tc>
        <w:tc>
          <w:tcPr>
            <w:tcW w:w="2340" w:type="dxa"/>
          </w:tcPr>
          <w:p>
            <w:pPr/>
            <w:r>
              <w:t xml:space="preserve">Sustainable reunification speed and surge readiness</w:t>
            </w:r>
          </w:p>
        </w:tc>
      </w:tr>
    </w:tbl>
    <w:p>
      <w:pPr/>
      <w:r>
        <w:t xml:space="preserve">DEI targets follow from the length-of-stay targets (DEI ≈ 1 ÷ LOS): 120 days ≈ 0.83%/day and 90 days ≈ 1.1%/day.</w:t>
      </w:r>
    </w:p>
    <w:p>
      <w:pPr>
        <w:pStyle w:val="Heading2"/>
      </w:pPr>
      <w:r>
        <w:t xml:space="preserve">7. Limitations</w:t>
      </w:r>
    </w:p>
    <w:p>
      <w:pPr>
        <w:pStyle w:val="ListParagraph"/>
        <w:numPr>
          <w:ilvl w:val="0"/>
          <w:numId w:val="7"/>
        </w:numPr>
      </w:pPr>
      <w:r>
        <w:t xml:space="preserve">Aggregate series only; no child-level durations, so dwell and length of stay are Little's Law approximations that assume rough steady state (the 2025 Q1–Q2 estimates are biased by a rapidly falling census).</w:t>
      </w:r>
    </w:p>
    <w:p>
      <w:pPr>
        <w:pStyle w:val="ListParagraph"/>
        <w:numPr>
          <w:ilvl w:val="0"/>
          <w:numId w:val="7"/>
        </w:numPr>
      </w:pPr>
      <w:r>
        <w:t xml:space="preserve">Discharges are not split by sponsor placement versus other exits, so "placement outcomes" are volume- and rate-based, not quality- or safety-based. Post-placement outcomes (stability of the placement, safety follow-up) are not observed.</w:t>
      </w:r>
    </w:p>
    <w:p>
      <w:pPr>
        <w:pStyle w:val="ListParagraph"/>
        <w:numPr>
          <w:ilvl w:val="0"/>
          <w:numId w:val="7"/>
        </w:numPr>
      </w:pPr>
      <w:r>
        <w:t xml:space="preserve">Flows do not reconcile to census, and Friday/Saturday are unreported; both limit precision.</w:t>
      </w:r>
    </w:p>
    <w:p>
      <w:pPr>
        <w:pStyle w:val="ListParagraph"/>
        <w:numPr>
          <w:ilvl w:val="0"/>
          <w:numId w:val="7"/>
        </w:numPr>
      </w:pPr>
      <w:r>
        <w:t xml:space="preserve">Causes of the 2025 slowdown are hypotheses, not findings.</w:t>
      </w:r>
    </w:p>
    <w:p>
      <w:pPr>
        <w:pStyle w:val="Heading2"/>
      </w:pPr>
      <w:r>
        <w:t xml:space="preserve">8. Conclusion</w:t>
      </w:r>
    </w:p>
    <w:p>
      <w:pPr/>
      <w:r>
        <w:t xml:space="preserve">The pipeline's problem has changed. Through 2024 it was a capacity-and-throughput problem at HHS; in 2025 it became a </w:t>
      </w:r>
      <w:r>
        <w:rPr>
          <w:b/>
        </w:rPr>
        <w:t xml:space="preserve">velocity problem across both stages</w:t>
      </w:r>
      <w:r>
        <w:t xml:space="preserve">, with children waiting longer at CBP and far longer in HHS care despite a 95% smaller intake. Because the slowdown appears only in the low-volume regime, it is more consistent with process and policy factors than with load. A KPI scorecard, targeted dwell and length-of-stay goals, and case-level data are the fastest route to faster, more reliable reunification.</w:t>
      </w:r>
    </w:p>
    <w:p>
      <w:pPr>
        <w:pStyle w:val="Heading2"/>
      </w:pPr>
      <w:r>
        <w:t xml:space="preserve">Appendix: Reproducibility</w:t>
      </w:r>
    </w:p>
    <w:p>
      <w:pPr/>
      <w:r>
        <w:t xml:space="preserve">All numbers were produced by the accompanying Python project (</w:t>
      </w:r>
      <w:r>
        <w:rPr>
          <w:rStyle w:val="CodeChar"/>
        </w:rPr>
        <w:t xml:space="preserve">analytics.py</w:t>
      </w:r>
      <w:r>
        <w:t xml:space="preserve">, </w:t>
      </w:r>
      <w:r>
        <w:rPr>
          <w:rStyle w:val="CodeChar"/>
        </w:rPr>
        <w:t xml:space="preserve">app.py</w:t>
      </w:r>
      <w:r>
        <w:t xml:space="preserve">, </w:t>
      </w:r>
      <w:r>
        <w:rPr>
          <w:rStyle w:val="CodeChar"/>
        </w:rPr>
        <w:t xml:space="preserve">generate_report_assets.py</w:t>
      </w:r>
      <w:r>
        <w:t xml:space="preserve">). Figures and tables are in the </w:t>
      </w:r>
      <w:r>
        <w:rPr>
          <w:rStyle w:val="CodeChar"/>
        </w:rPr>
        <w:t xml:space="preserve">figures/</w:t>
      </w:r>
      <w:r>
        <w:t xml:space="preserve"> folder.</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0"/>
  </w:num>
  <w:num w:numId="5">
    <w:abstractNumId w:val="0"/>
  </w:num>
  <w:num w:numId="6">
    <w:abstractNumId w:val="1"/>
    <w:lvlOverride w:ilvl="0">
      <w:startOverride w:val="1"/>
    </w:lvlOverride>
  </w:num>
  <w:num w:numId="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Care Transition Efficiency &amp; Placement Outcome Analytics</dc:title>
  <dc:description>Claude Docs node/cf10fccd-4d5c@1 docx-w6</dc:description>
  <cp:revision>1</cp:revision>
</cp:coreProperties>
</file>