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Executive Summary: UAC Care Transition Efficiency</w:t>
      </w:r>
    </w:p>
    <w:p>
      <w:pPr/>
      <w:r>
        <w:rPr>
          <w:i/>
        </w:rPr>
        <w:t xml:space="preserve">Briefing for HHS / ACF / ORR leadership and inter-agency partners. Data: daily program reports, 12 Jan 2023 – 21 Dec 2025.</w:t>
      </w:r>
    </w:p>
    <w:p>
      <w:pPr>
        <w:pStyle w:val="Heading2"/>
      </w:pPr>
      <w:r>
        <w:t xml:space="preserve">Bottom line</w:t>
      </w:r>
    </w:p>
    <w:p>
      <w:pPr/>
      <w:r>
        <w:rPr>
          <w:b/>
        </w:rPr>
        <w:t xml:space="preserve">Children are moving through the care pipeline far more slowly than before, even though the system is now about 95% smaller.</w:t>
      </w:r>
      <w:r>
        <w:t xml:space="preserve"> Intake has fallen from 143 to 8 children per day (Q4 2024 → Q4 2025), yet time in CBP custody has risen and time in HHS care has risen roughly six-fold. The constraint is no longer capacity. It is the speed and reliability of each handoff.</w:t>
      </w:r>
    </w:p>
    <w:p>
      <w:pPr>
        <w:pStyle w:val="Heading2"/>
      </w:pPr>
      <w:r>
        <w:t xml:space="preserve">What we found</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Question</w:t>
            </w:r>
          </w:p>
        </w:tc>
        <w:tc>
          <w:tcPr>
            <w:tcW w:w="3120" w:type="dxa"/>
            <w:shd w:val="clear" w:color="auto" w:fill="F2F2F2"/>
          </w:tcPr>
          <w:p>
            <w:pPr/>
            <w:r>
              <w:t xml:space="preserve">Answer</w:t>
            </w:r>
          </w:p>
        </w:tc>
        <w:tc>
          <w:tcPr>
            <w:tcW w:w="3120" w:type="dxa"/>
            <w:shd w:val="clear" w:color="auto" w:fill="F2F2F2"/>
          </w:tcPr>
          <w:p>
            <w:pPr/>
            <w:r>
              <w:t xml:space="preserve">Evidence</w:t>
            </w:r>
          </w:p>
        </w:tc>
      </w:tr>
      <w:tr>
        <w:tc>
          <w:tcPr>
            <w:tcW w:w="3120" w:type="dxa"/>
          </w:tcPr>
          <w:p>
            <w:pPr/>
            <w:r>
              <w:t xml:space="preserve">Are CBP → HHS transfers efficient?</w:t>
            </w:r>
          </w:p>
        </w:tc>
        <w:tc>
          <w:tcPr>
            <w:tcW w:w="3120" w:type="dxa"/>
          </w:tcPr>
          <w:p>
            <w:pPr/>
            <w:r>
              <w:rPr>
                <w:b/>
              </w:rPr>
              <w:t xml:space="preserve">Slower since 2025.</w:t>
            </w:r>
          </w:p>
        </w:tc>
        <w:tc>
          <w:tcPr>
            <w:tcW w:w="3120" w:type="dxa"/>
          </w:tcPr>
          <w:p>
            <w:pPr/>
            <w:r>
              <w:t xml:space="preserve">Implied CBP dwell was 1.1–1.4 days through 2024; it reached 3.4 days (about 81 hours) in Q4 2025, above the 72-hour transfer standard.</w:t>
            </w:r>
          </w:p>
        </w:tc>
      </w:tr>
      <w:tr>
        <w:tc>
          <w:tcPr>
            <w:tcW w:w="3120" w:type="dxa"/>
          </w:tcPr>
          <w:p>
            <w:pPr/>
            <w:r>
              <w:t xml:space="preserve">Are discharges keeping pace?</w:t>
            </w:r>
          </w:p>
        </w:tc>
        <w:tc>
          <w:tcPr>
            <w:tcW w:w="3120" w:type="dxa"/>
          </w:tcPr>
          <w:p>
            <w:pPr/>
            <w:r>
              <w:rPr>
                <w:b/>
              </w:rPr>
              <w:t xml:space="preserve">Not at the system's scale.</w:t>
            </w:r>
          </w:p>
        </w:tc>
        <w:tc>
          <w:tcPr>
            <w:tcW w:w="3120" w:type="dxa"/>
          </w:tcPr>
          <w:p>
            <w:pPr/>
            <w:r>
              <w:t xml:space="preserve">Daily discharge rate fell from 3.25% to 0.43% of children in care (−87%). Implied length of stay rose from about 39 days to about 234 days.</w:t>
            </w:r>
          </w:p>
        </w:tc>
      </w:tr>
      <w:tr>
        <w:tc>
          <w:tcPr>
            <w:tcW w:w="3120" w:type="dxa"/>
          </w:tcPr>
          <w:p>
            <w:pPr/>
            <w:r>
              <w:t xml:space="preserve">Where do backlogs build?</w:t>
            </w:r>
          </w:p>
        </w:tc>
        <w:tc>
          <w:tcPr>
            <w:tcW w:w="3120" w:type="dxa"/>
          </w:tcPr>
          <w:p>
            <w:pPr/>
            <w:r>
              <w:rPr>
                <w:b/>
              </w:rPr>
              <w:t xml:space="preserve">HHS discharge in 2024; both stages in 2025.</w:t>
            </w:r>
          </w:p>
        </w:tc>
        <w:tc>
          <w:tcPr>
            <w:tcW w:w="3120" w:type="dxa"/>
          </w:tcPr>
          <w:p>
            <w:pPr/>
            <w:r>
              <w:t xml:space="preserve">Four sustained queue-building episodes in 2024 (longest: 63 reporting days). Since March 2025 the discharge rate has sat in its lowest historic quartile for 175 of the last ~190 reports.</w:t>
            </w:r>
          </w:p>
        </w:tc>
      </w:tr>
      <w:tr>
        <w:tc>
          <w:tcPr>
            <w:tcW w:w="3120" w:type="dxa"/>
          </w:tcPr>
          <w:p>
            <w:pPr/>
            <w:r>
              <w:t xml:space="preserve">Are placement outcomes improving?</w:t>
            </w:r>
          </w:p>
        </w:tc>
        <w:tc>
          <w:tcPr>
            <w:tcW w:w="3120" w:type="dxa"/>
          </w:tcPr>
          <w:p>
            <w:pPr/>
            <w:r>
              <w:rPr>
                <w:b/>
              </w:rPr>
              <w:t xml:space="preserve">No. A structural break occurred in Feb 2025.</w:t>
            </w:r>
          </w:p>
        </w:tc>
        <w:tc>
          <w:tcPr>
            <w:tcW w:w="3120" w:type="dxa"/>
          </w:tcPr>
          <w:p>
            <w:pPr/>
            <w:r>
              <w:t xml:space="preserve">Average daily discharges fell from about 150–166 to 61 in Feb 2025 and about 8–19 since, with no recovery.</w:t>
            </w:r>
          </w:p>
        </w:tc>
      </w:tr>
    </w:tbl>
    <w:p>
      <w:pPr>
        <w:pStyle w:val="Heading2"/>
      </w:pPr>
      <w:r>
        <w:t xml:space="preserve">Why this matters</w:t>
      </w:r>
    </w:p>
    <w:p>
      <w:pPr/>
      <w:r>
        <w:t xml:space="preserve">Every additional week in custody or care is a week a child is not with a vetted sponsor. The slowdown appeared only when volume dropped. Efficiency was steady across high and moderate volumes (transfer efficiency 0.77–0.81, length of stay about 32 days) and fell only at low volume (0.34, about 187 days). That pattern is more consistent with </w:t>
      </w:r>
      <w:r>
        <w:rPr>
          <w:b/>
        </w:rPr>
        <w:t xml:space="preserve">process or policy factors</w:t>
      </w:r>
      <w:r>
        <w:t xml:space="preserve"> than with workload. This analysis cannot yet say which, because the data is aggregate.</w:t>
      </w:r>
    </w:p>
    <w:p>
      <w:pPr>
        <w:pStyle w:val="Heading2"/>
      </w:pPr>
      <w:r>
        <w:t xml:space="preserve">Recommendations</w:t>
      </w:r>
    </w:p>
    <w:p>
      <w:pPr>
        <w:pStyle w:val="ListParagraph"/>
        <w:numPr>
          <w:ilvl w:val="0"/>
          <w:numId w:val="2"/>
        </w:numPr>
      </w:pPr>
      <w:r>
        <w:rPr>
          <w:b/>
        </w:rPr>
        <w:t xml:space="preserve">Adopt a five-KPI weekly scorecard</w:t>
      </w:r>
      <w:r>
        <w:t xml:space="preserve"> (transfer efficiency, discharge effectiveness, throughput, backlog rate, outcome stability) with visual alert thresholds. A working dashboard is delivered with this analysis.</w:t>
      </w:r>
    </w:p>
    <w:p>
      <w:pPr>
        <w:pStyle w:val="ListParagraph"/>
        <w:numPr>
          <w:ilvl w:val="0"/>
          <w:numId w:val="2"/>
        </w:numPr>
      </w:pPr>
      <w:r>
        <w:rPr>
          <w:b/>
        </w:rPr>
        <w:t xml:space="preserve">Set explicit targets:</w:t>
      </w:r>
      <w:r>
        <w:t xml:space="preserve"> CBP dwell ≤ 2.0 days (from 3.4), HHS length of stay ≤ 120 days within two quarters (the level reached in July 2025) and ≤ 90 days within four (provisional).</w:t>
      </w:r>
    </w:p>
    <w:p>
      <w:pPr>
        <w:pStyle w:val="ListParagraph"/>
        <w:numPr>
          <w:ilvl w:val="0"/>
          <w:numId w:val="2"/>
        </w:numPr>
      </w:pPr>
      <w:r>
        <w:rPr>
          <w:b/>
        </w:rPr>
        <w:t xml:space="preserve">Close the data gaps:</w:t>
      </w:r>
      <w:r>
        <w:t xml:space="preserve"> child-level stage timestamps, discharge type (sponsor category, age-out, other), age band, and seven-day reporting. Without these, delay causes cannot be ranked.</w:t>
      </w:r>
    </w:p>
    <w:p>
      <w:pPr>
        <w:pStyle w:val="ListParagraph"/>
        <w:numPr>
          <w:ilvl w:val="0"/>
          <w:numId w:val="2"/>
        </w:numPr>
      </w:pPr>
      <w:r>
        <w:rPr>
          <w:b/>
        </w:rPr>
        <w:t xml:space="preserve">Run a case-level delay diagnostic in Q2</w:t>
      </w:r>
      <w:r>
        <w:t xml:space="preserve"> to identify which steps (vetting, sponsor verification, case management) add the most days, then remove the top delays in Q3.</w:t>
      </w:r>
    </w:p>
    <w:p>
      <w:pPr>
        <w:pStyle w:val="ListParagraph"/>
        <w:numPr>
          <w:ilvl w:val="0"/>
          <w:numId w:val="2"/>
        </w:numPr>
      </w:pPr>
      <w:r>
        <w:rPr>
          <w:b/>
        </w:rPr>
        <w:t xml:space="preserve">Keep a surge-readiness playbook.</w:t>
      </w:r>
      <w:r>
        <w:t xml:space="preserve"> In 2023–24 the system sustained 270–335 discharges per day at about 30 days length of stay; triggers and flex arrangements should be ready if intake rebounds.</w:t>
      </w:r>
    </w:p>
    <w:p>
      <w:pPr>
        <w:pStyle w:val="Heading2"/>
      </w:pPr>
      <w:r>
        <w:t xml:space="preserve">Four-quarter roadmap</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Quarter</w:t>
            </w:r>
          </w:p>
        </w:tc>
        <w:tc>
          <w:tcPr>
            <w:tcW w:w="3120" w:type="dxa"/>
            <w:shd w:val="clear" w:color="auto" w:fill="F2F2F2"/>
          </w:tcPr>
          <w:p>
            <w:pPr/>
            <w:r>
              <w:t xml:space="preserve">Focus</w:t>
            </w:r>
          </w:p>
        </w:tc>
        <w:tc>
          <w:tcPr>
            <w:tcW w:w="3120" w:type="dxa"/>
            <w:shd w:val="clear" w:color="auto" w:fill="F2F2F2"/>
          </w:tcPr>
          <w:p>
            <w:pPr/>
            <w:r>
              <w:t xml:space="preserve">Key measure</w:t>
            </w:r>
          </w:p>
        </w:tc>
      </w:tr>
      <w:tr>
        <w:tc>
          <w:tcPr>
            <w:tcW w:w="3120" w:type="dxa"/>
          </w:tcPr>
          <w:p>
            <w:pPr/>
            <w:r>
              <w:t xml:space="preserve">Q1</w:t>
            </w:r>
          </w:p>
        </w:tc>
        <w:tc>
          <w:tcPr>
            <w:tcW w:w="3120" w:type="dxa"/>
          </w:tcPr>
          <w:p>
            <w:pPr/>
            <w:r>
              <w:t xml:space="preserve">Scorecard live; data standards; seven-day reporting</w:t>
            </w:r>
          </w:p>
        </w:tc>
        <w:tc>
          <w:tcPr>
            <w:tcW w:w="3120" w:type="dxa"/>
          </w:tcPr>
          <w:p>
            <w:pPr/>
            <w:r>
              <w:t xml:space="preserve">Weekly scorecard; 100% of discharges typed</w:t>
            </w:r>
          </w:p>
        </w:tc>
      </w:tr>
      <w:tr>
        <w:tc>
          <w:tcPr>
            <w:tcW w:w="3120" w:type="dxa"/>
          </w:tcPr>
          <w:p>
            <w:pPr/>
            <w:r>
              <w:t xml:space="preserve">Q2</w:t>
            </w:r>
          </w:p>
        </w:tc>
        <w:tc>
          <w:tcPr>
            <w:tcW w:w="3120" w:type="dxa"/>
          </w:tcPr>
          <w:p>
            <w:pPr/>
            <w:r>
              <w:t xml:space="preserve">Case-level diagnostic; pooled transfer coordination pilot</w:t>
            </w:r>
          </w:p>
        </w:tc>
        <w:tc>
          <w:tcPr>
            <w:tcW w:w="3120" w:type="dxa"/>
          </w:tcPr>
          <w:p>
            <w:pPr/>
            <w:r>
              <w:t xml:space="preserve">CBP dwell ≤ 2.5 days; HHS length of stay ≤ 180 days</w:t>
            </w:r>
          </w:p>
        </w:tc>
      </w:tr>
      <w:tr>
        <w:tc>
          <w:tcPr>
            <w:tcW w:w="3120" w:type="dxa"/>
          </w:tcPr>
          <w:p>
            <w:pPr/>
            <w:r>
              <w:t xml:space="preserve">Q3</w:t>
            </w:r>
          </w:p>
        </w:tc>
        <w:tc>
          <w:tcPr>
            <w:tcW w:w="3120" w:type="dxa"/>
          </w:tcPr>
          <w:p>
            <w:pPr/>
            <w:r>
              <w:t xml:space="preserve">Remove top delays; long-stay case workflow</w:t>
            </w:r>
          </w:p>
        </w:tc>
        <w:tc>
          <w:tcPr>
            <w:tcW w:w="3120" w:type="dxa"/>
          </w:tcPr>
          <w:p>
            <w:pPr/>
            <w:r>
              <w:t xml:space="preserve">CBP dwell ≤ 2.0 days; length of stay ≤ 120 days</w:t>
            </w:r>
          </w:p>
        </w:tc>
      </w:tr>
      <w:tr>
        <w:tc>
          <w:tcPr>
            <w:tcW w:w="3120" w:type="dxa"/>
          </w:tcPr>
          <w:p>
            <w:pPr/>
            <w:r>
              <w:t xml:space="preserve">Q4</w:t>
            </w:r>
          </w:p>
        </w:tc>
        <w:tc>
          <w:tcPr>
            <w:tcW w:w="3120" w:type="dxa"/>
          </w:tcPr>
          <w:p>
            <w:pPr/>
            <w:r>
              <w:t xml:space="preserve">Institutionalise targets; surge triggers</w:t>
            </w:r>
          </w:p>
        </w:tc>
        <w:tc>
          <w:tcPr>
            <w:tcW w:w="3120" w:type="dxa"/>
          </w:tcPr>
          <w:p>
            <w:pPr/>
            <w:r>
              <w:t xml:space="preserve">Length of stay ≤ 90 days (provisional)</w:t>
            </w:r>
          </w:p>
        </w:tc>
      </w:tr>
    </w:tbl>
    <w:p>
      <w:pPr>
        <w:pStyle w:val="Heading2"/>
      </w:pPr>
      <w:r>
        <w:t xml:space="preserve">Cautions</w:t>
      </w:r>
    </w:p>
    <w:p>
      <w:pPr>
        <w:pStyle w:val="ListParagraph"/>
        <w:numPr>
          <w:ilvl w:val="0"/>
          <w:numId w:val="3"/>
        </w:numPr>
      </w:pPr>
      <w:r>
        <w:t xml:space="preserve">Dwell and length-of-stay figures are population averages derived from daily counts, not measured durations for individual children.</w:t>
      </w:r>
    </w:p>
    <w:p>
      <w:pPr>
        <w:pStyle w:val="ListParagraph"/>
        <w:numPr>
          <w:ilvl w:val="0"/>
          <w:numId w:val="3"/>
        </w:numPr>
      </w:pPr>
      <w:r>
        <w:t xml:space="preserve">"Discharges" are not split by sponsor placement versus other exits, and the data do not capture post-placement outcomes or safety.</w:t>
      </w:r>
    </w:p>
    <w:p>
      <w:pPr>
        <w:pStyle w:val="ListParagraph"/>
        <w:numPr>
          <w:ilvl w:val="0"/>
          <w:numId w:val="3"/>
        </w:numPr>
      </w:pPr>
      <w:r>
        <w:t xml:space="preserve">Daily reports cover Sunday–Thursday only, and flows do not fully reconcile to census totals, so figures are estimates.</w:t>
      </w:r>
    </w:p>
    <w:p>
      <w:pPr>
        <w:pStyle w:val="ListParagraph"/>
        <w:numPr>
          <w:ilvl w:val="0"/>
          <w:numId w:val="3"/>
        </w:numPr>
      </w:pPr>
      <w:r>
        <w:t xml:space="preserve">Explanations for the 2025 slowdown are hypotheses to be tested, not findings.</w:t>
      </w:r>
    </w:p>
    <w:p>
      <w:pPr/>
      <w:r>
        <w:rPr>
          <w:i/>
        </w:rPr>
        <w:t xml:space="preserve">Full methodology, tables and figures: see the accompanying research paper and Python project.</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Executive Summary UAC Care Transition Efficiency</dc:title>
  <dc:description>Claude Docs node/672d4aa7-af4d@1 docx-w6</dc:description>
  <cp:revision>1</cp:revision>
</cp:coreProperties>
</file>