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— Nassau Candy Profitability</w:t>
      </w:r>
    </w:p>
    <w:p>
      <w:r>
        <w:t>Purpose: provide a concise decision view of product-line profitability, margin risk and concentration.</w:t>
      </w:r>
    </w:p>
    <w:p>
      <w:pPr>
        <w:pStyle w:val="Heading1"/>
      </w:pPr>
      <w:r>
        <w:t>Financial position</w:t>
      </w:r>
    </w:p>
    <w:p>
      <w:r>
        <w:t>$141.8K sales, $93.4K gross profit and 65.9% gross margin across 10,194 order lines.</w:t>
      </w:r>
    </w:p>
    <w:p>
      <w:pPr>
        <w:pStyle w:val="Heading1"/>
      </w:pPr>
      <w:r>
        <w:t>Profit concentration</w:t>
      </w:r>
    </w:p>
    <w:p>
      <w:r>
        <w:t>Chocolate produces $88.8K gross profit, about 95% of total profit. Four products produce 77.3% of total profit.</w:t>
      </w:r>
    </w:p>
    <w:p>
      <w:pPr>
        <w:pStyle w:val="Heading1"/>
      </w:pPr>
      <w:r>
        <w:t>Best performers</w:t>
      </w:r>
    </w:p>
    <w:p>
      <w:r>
        <w:t>Scrumdiddlyumptious: $19.36K profit; Triple Dazzle Caramel: $18.61K; Milk Chocolate: $17.44K; Nutty Crunch Surprise: $16.82K with the highest material-volume margin at 71.35%.</w:t>
      </w:r>
    </w:p>
    <w:p>
      <w:pPr>
        <w:pStyle w:val="Heading1"/>
      </w:pPr>
      <w:r>
        <w:t>Margin risk</w:t>
      </w:r>
    </w:p>
    <w:p>
      <w:r>
        <w:t>Kazookles has only 7.69% gross margin on $1.21K sales. It should undergo pricing and sourcing review.</w:t>
      </w:r>
    </w:p>
    <w:p>
      <w:pPr>
        <w:pStyle w:val="Heading1"/>
      </w:pPr>
      <w:r>
        <w:t>Strategic risk</w:t>
      </w:r>
    </w:p>
    <w:p>
      <w:r>
        <w:t>Profit is highly dependent on the chocolate portfolio and the Lot's O' Nuts/Wicked Choccy's factories.</w:t>
      </w:r>
    </w:p>
    <w:p>
      <w:pPr>
        <w:pStyle w:val="Heading1"/>
      </w:pPr>
      <w:r>
        <w:t>Data-quality issue</w:t>
      </w:r>
    </w:p>
    <w:p>
      <w:r>
        <w:t>Ship dates occur 904–1,642 days after order dates. Shipment-performance conclusions should be withheld until the dates are corrected.</w:t>
      </w:r>
    </w:p>
    <w:p>
      <w:pPr>
        <w:pStyle w:val="Heading1"/>
      </w:pPr>
      <w:r>
        <w:t>Recommended actions</w:t>
      </w:r>
    </w:p>
    <w:p>
      <w:r>
        <w:t>Reprice or renegotiate Kazookles; protect core chocolate availability; scale high-profit products; review low-volume tail products; add discount/freight/procurement data for deeper contribution-margin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