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BDFDF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1. 采样与量化原理</w:t>
      </w:r>
    </w:p>
    <w:p w14:paraId="50391C53">
      <w:pPr>
        <w:rPr>
          <w:b/>
          <w:bCs/>
        </w:rPr>
      </w:pPr>
      <w:r>
        <w:rPr>
          <w:color w:val="000000"/>
          <w:sz w:val="22"/>
        </w:rPr>
        <w:t>采样 (Sampling)：将连续信号或高分辨率图像按照一定比例降低分辨率，以减少存储或传输量。</w:t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t>量化 (Quantization)：将连续幅度信号映射到有限离散幅度级别，用于压缩。均匀量化公式：Q(x) = round(x/Δ)*Δ。</w:t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t>步长Δ越大，压缩率越高，但 PSNR下降，视觉质量降低。</w:t>
      </w:r>
      <w:r>
        <w:rPr>
          <w:color w:val="000000"/>
          <w:sz w:val="22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6850" cy="497205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972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048E7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A8CA11">
            <w:r>
              <w:t>采样格式</w:t>
            </w:r>
          </w:p>
        </w:tc>
        <w:tc>
          <w:tcPr>
            <w:tcW w:w="2160" w:type="dxa"/>
          </w:tcPr>
          <w:p w14:paraId="2D9C7F12">
            <w:r>
              <w:t>Y 分量</w:t>
            </w:r>
          </w:p>
        </w:tc>
        <w:tc>
          <w:tcPr>
            <w:tcW w:w="2160" w:type="dxa"/>
          </w:tcPr>
          <w:p w14:paraId="2AFF6424">
            <w:r>
              <w:t>U/V 分量</w:t>
            </w:r>
          </w:p>
        </w:tc>
        <w:tc>
          <w:tcPr>
            <w:tcW w:w="2160" w:type="dxa"/>
          </w:tcPr>
          <w:p w14:paraId="0E19487F">
            <w:r>
              <w:t>说明</w:t>
            </w:r>
          </w:p>
        </w:tc>
      </w:tr>
      <w:tr w14:paraId="185AC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27AF31">
            <w:r>
              <w:t>4:4:4</w:t>
            </w:r>
          </w:p>
        </w:tc>
        <w:tc>
          <w:tcPr>
            <w:tcW w:w="2160" w:type="dxa"/>
          </w:tcPr>
          <w:p w14:paraId="41C81777">
            <w:r>
              <w:t>全分辨率</w:t>
            </w:r>
          </w:p>
        </w:tc>
        <w:tc>
          <w:tcPr>
            <w:tcW w:w="2160" w:type="dxa"/>
          </w:tcPr>
          <w:p w14:paraId="6A1BAF35">
            <w:r>
              <w:t>全分辨率</w:t>
            </w:r>
          </w:p>
        </w:tc>
        <w:tc>
          <w:tcPr>
            <w:tcW w:w="2160" w:type="dxa"/>
          </w:tcPr>
          <w:p w14:paraId="264E8904">
            <w:r>
              <w:t>无色度损失，最高质量</w:t>
            </w:r>
          </w:p>
        </w:tc>
      </w:tr>
      <w:tr w14:paraId="56E736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A35087">
            <w:r>
              <w:t>4:2:2</w:t>
            </w:r>
          </w:p>
        </w:tc>
        <w:tc>
          <w:tcPr>
            <w:tcW w:w="2160" w:type="dxa"/>
          </w:tcPr>
          <w:p w14:paraId="663291FA">
            <w:r>
              <w:t>全分辨率</w:t>
            </w:r>
          </w:p>
        </w:tc>
        <w:tc>
          <w:tcPr>
            <w:tcW w:w="2160" w:type="dxa"/>
          </w:tcPr>
          <w:p w14:paraId="1B085EF0">
            <w:r>
              <w:t>水平方向减半</w:t>
            </w:r>
          </w:p>
        </w:tc>
        <w:tc>
          <w:tcPr>
            <w:tcW w:w="2160" w:type="dxa"/>
          </w:tcPr>
          <w:p w14:paraId="099C5F0C">
            <w:r>
              <w:t>广播视频常用</w:t>
            </w:r>
          </w:p>
        </w:tc>
      </w:tr>
      <w:tr w14:paraId="1817B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537CA8">
            <w:r>
              <w:t>4:2:0</w:t>
            </w:r>
          </w:p>
        </w:tc>
        <w:tc>
          <w:tcPr>
            <w:tcW w:w="2160" w:type="dxa"/>
          </w:tcPr>
          <w:p w14:paraId="3BB46245">
            <w:r>
              <w:t>全分辨率</w:t>
            </w:r>
          </w:p>
        </w:tc>
        <w:tc>
          <w:tcPr>
            <w:tcW w:w="2160" w:type="dxa"/>
          </w:tcPr>
          <w:p w14:paraId="38FD08F1">
            <w:r>
              <w:t>水平+垂直减半</w:t>
            </w:r>
          </w:p>
        </w:tc>
        <w:tc>
          <w:tcPr>
            <w:tcW w:w="2160" w:type="dxa"/>
          </w:tcPr>
          <w:p w14:paraId="53B48CD6">
            <w:r>
              <w:t>视频压缩最常用</w:t>
            </w:r>
          </w:p>
        </w:tc>
      </w:tr>
      <w:tr w14:paraId="7A855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EE7C2A">
            <w:r>
              <w:t>4:1:1</w:t>
            </w:r>
          </w:p>
        </w:tc>
        <w:tc>
          <w:tcPr>
            <w:tcW w:w="2160" w:type="dxa"/>
          </w:tcPr>
          <w:p w14:paraId="235DBB32">
            <w:r>
              <w:t>全分辨率</w:t>
            </w:r>
          </w:p>
        </w:tc>
        <w:tc>
          <w:tcPr>
            <w:tcW w:w="2160" w:type="dxa"/>
          </w:tcPr>
          <w:p w14:paraId="093CEF28">
            <w:r>
              <w:t>水平方向1/4</w:t>
            </w:r>
          </w:p>
        </w:tc>
        <w:tc>
          <w:tcPr>
            <w:tcW w:w="2160" w:type="dxa"/>
          </w:tcPr>
          <w:p w14:paraId="3132B3EA">
            <w:r>
              <w:t>部分旧视频标准使用</w:t>
            </w:r>
          </w:p>
        </w:tc>
      </w:tr>
    </w:tbl>
    <w:p w14:paraId="3A5D0C15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 RGB ↔ YUV 转换及标准</w:t>
      </w:r>
    </w:p>
    <w:p w14:paraId="10785BD7">
      <w:r>
        <w:rPr>
          <w:color w:val="000000"/>
          <w:sz w:val="22"/>
        </w:rPr>
        <w:t>常用标准：BT.601(标清), BT.709(高清), BT.2020(超高清)。</w:t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t>公式（BT.601）：</w:t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t>Y = 0.299R + 0.587G + 0.114B</w:t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t>U = -0.169R - 0.331G + 0.5B + 128</w:t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t>V = 0.5R - 0.419G - 0.081B + 128</w:t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t>YUV → RGB:</w:t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t>R = Y + 1.402(V-128)</w:t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t>G = Y - 0.34414(U-128) - 0.71414(V-128)</w:t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t>B = Y + 1.772(U-128)</w:t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t>说明：Y分量为亮度，U/V为色度，人眼对亮度敏感，色度可下采样以减少数据量。</w:t>
      </w:r>
    </w:p>
    <w:p w14:paraId="3776B1DD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3. 视频帧类型及预测机制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D202B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DA85F4">
            <w:r>
              <w:t>帧类型</w:t>
            </w:r>
          </w:p>
        </w:tc>
        <w:tc>
          <w:tcPr>
            <w:tcW w:w="2880" w:type="dxa"/>
          </w:tcPr>
          <w:p w14:paraId="36A9B4CA">
            <w:r>
              <w:t>描述</w:t>
            </w:r>
          </w:p>
        </w:tc>
        <w:tc>
          <w:tcPr>
            <w:tcW w:w="2880" w:type="dxa"/>
          </w:tcPr>
          <w:p w14:paraId="3FD76388">
            <w:r>
              <w:t>编码特点</w:t>
            </w:r>
          </w:p>
        </w:tc>
      </w:tr>
      <w:tr w14:paraId="756A9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74E3B7">
            <w:r>
              <w:t>I帧</w:t>
            </w:r>
          </w:p>
        </w:tc>
        <w:tc>
          <w:tcPr>
            <w:tcW w:w="2880" w:type="dxa"/>
          </w:tcPr>
          <w:p w14:paraId="2293047F">
            <w:r>
              <w:t>帧内编码</w:t>
            </w:r>
          </w:p>
        </w:tc>
        <w:tc>
          <w:tcPr>
            <w:tcW w:w="2880" w:type="dxa"/>
          </w:tcPr>
          <w:p w14:paraId="25FD8DCA">
            <w:r>
              <w:t>完整图像，不依赖其他帧，低压缩率，低延迟</w:t>
            </w:r>
          </w:p>
        </w:tc>
      </w:tr>
      <w:tr w14:paraId="391450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A7C4A1">
            <w:r>
              <w:t>P帧</w:t>
            </w:r>
          </w:p>
        </w:tc>
        <w:tc>
          <w:tcPr>
            <w:tcW w:w="2880" w:type="dxa"/>
          </w:tcPr>
          <w:p w14:paraId="40BE4513">
            <w:r>
              <w:t>前向预测</w:t>
            </w:r>
          </w:p>
        </w:tc>
        <w:tc>
          <w:tcPr>
            <w:tcW w:w="2880" w:type="dxa"/>
          </w:tcPr>
          <w:p w14:paraId="69CC62D6">
            <w:r>
              <w:t>仅记录与参考帧差异，高压缩率，中等延迟</w:t>
            </w:r>
          </w:p>
        </w:tc>
      </w:tr>
      <w:tr w14:paraId="24B7E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875679">
            <w:r>
              <w:t>B帧</w:t>
            </w:r>
          </w:p>
        </w:tc>
        <w:tc>
          <w:tcPr>
            <w:tcW w:w="2880" w:type="dxa"/>
          </w:tcPr>
          <w:p w14:paraId="390EBC2C">
            <w:r>
              <w:t>双向预测</w:t>
            </w:r>
          </w:p>
        </w:tc>
        <w:tc>
          <w:tcPr>
            <w:tcW w:w="2880" w:type="dxa"/>
          </w:tcPr>
          <w:p w14:paraId="2BC07193">
            <w:r>
              <w:t>利用前后帧预测，最高压缩率，解码延迟大</w:t>
            </w:r>
          </w:p>
        </w:tc>
      </w:tr>
      <w:tr w14:paraId="6CED4F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12E113">
            <w:r>
              <w:t>SI/SP帧</w:t>
            </w:r>
          </w:p>
        </w:tc>
        <w:tc>
          <w:tcPr>
            <w:tcW w:w="2880" w:type="dxa"/>
          </w:tcPr>
          <w:p w14:paraId="1D264D06">
            <w:r>
              <w:t>特殊I/P帧</w:t>
            </w:r>
          </w:p>
        </w:tc>
        <w:tc>
          <w:tcPr>
            <w:tcW w:w="2880" w:type="dxa"/>
          </w:tcPr>
          <w:p w14:paraId="47E11559">
            <w:r>
              <w:t>用于特定编码优化或可切换流</w:t>
            </w:r>
          </w:p>
        </w:tc>
      </w:tr>
    </w:tbl>
    <w:p w14:paraId="2D26AFA3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4. 关键概念对比表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6"/>
        <w:gridCol w:w="1813"/>
        <w:gridCol w:w="2612"/>
        <w:gridCol w:w="3149"/>
      </w:tblGrid>
      <w:tr w14:paraId="7A6A3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919E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概念</w:t>
            </w:r>
          </w:p>
        </w:tc>
        <w:tc>
          <w:tcPr>
            <w:tcW w:w="0" w:type="auto"/>
            <w:shd w:val="clear"/>
            <w:vAlign w:val="center"/>
          </w:tcPr>
          <w:p w14:paraId="74251A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帧内预测（I-frame）</w:t>
            </w:r>
          </w:p>
        </w:tc>
        <w:tc>
          <w:tcPr>
            <w:tcW w:w="0" w:type="auto"/>
            <w:shd w:val="clear"/>
            <w:vAlign w:val="center"/>
          </w:tcPr>
          <w:p w14:paraId="563F49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帧间预测（Inter-frame, P/B帧）</w:t>
            </w:r>
          </w:p>
        </w:tc>
        <w:tc>
          <w:tcPr>
            <w:tcW w:w="0" w:type="auto"/>
            <w:shd w:val="clear"/>
            <w:vAlign w:val="center"/>
          </w:tcPr>
          <w:p w14:paraId="13FD34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0680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838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编码方式</w:t>
            </w:r>
          </w:p>
        </w:tc>
        <w:tc>
          <w:tcPr>
            <w:tcW w:w="0" w:type="auto"/>
            <w:shd w:val="clear"/>
            <w:vAlign w:val="center"/>
          </w:tcPr>
          <w:p w14:paraId="4BE58C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仅参考自身帧像素</w:t>
            </w:r>
          </w:p>
        </w:tc>
        <w:tc>
          <w:tcPr>
            <w:tcW w:w="0" w:type="auto"/>
            <w:shd w:val="clear"/>
            <w:vAlign w:val="center"/>
          </w:tcPr>
          <w:p w14:paraId="488AE0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参考其他帧（前向或双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向预测）</w:t>
            </w:r>
          </w:p>
        </w:tc>
        <w:tc>
          <w:tcPr>
            <w:tcW w:w="0" w:type="auto"/>
            <w:shd w:val="clear"/>
            <w:vAlign w:val="center"/>
          </w:tcPr>
          <w:p w14:paraId="58B870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I帧无需依赖其他帧，P/B帧依赖运动补偿</w:t>
            </w:r>
          </w:p>
        </w:tc>
      </w:tr>
      <w:tr w14:paraId="68C25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982C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数据冗余利用</w:t>
            </w:r>
          </w:p>
        </w:tc>
        <w:tc>
          <w:tcPr>
            <w:tcW w:w="0" w:type="auto"/>
            <w:shd w:val="clear"/>
            <w:vAlign w:val="center"/>
          </w:tcPr>
          <w:p w14:paraId="423F7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帧内冗余（空间冗余）</w:t>
            </w:r>
          </w:p>
        </w:tc>
        <w:tc>
          <w:tcPr>
            <w:tcW w:w="0" w:type="auto"/>
            <w:shd w:val="clear"/>
            <w:vAlign w:val="center"/>
          </w:tcPr>
          <w:p w14:paraId="45061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帧间冗余（时间冗余）</w:t>
            </w:r>
          </w:p>
        </w:tc>
        <w:tc>
          <w:tcPr>
            <w:tcW w:w="0" w:type="auto"/>
            <w:shd w:val="clear"/>
            <w:vAlign w:val="center"/>
          </w:tcPr>
          <w:p w14:paraId="6C9272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I帧压缩率低，P/B帧压缩率高</w:t>
            </w:r>
          </w:p>
        </w:tc>
      </w:tr>
      <w:tr w14:paraId="6B3F0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77C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压缩效率</w:t>
            </w:r>
          </w:p>
        </w:tc>
        <w:tc>
          <w:tcPr>
            <w:tcW w:w="0" w:type="auto"/>
            <w:shd w:val="clear"/>
            <w:vAlign w:val="center"/>
          </w:tcPr>
          <w:p w14:paraId="19AF0D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vAlign w:val="center"/>
          </w:tcPr>
          <w:p w14:paraId="420BEA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68AA75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P/B帧通过预测减少需要存储的数据</w:t>
            </w:r>
          </w:p>
        </w:tc>
      </w:tr>
      <w:tr w14:paraId="5ABF2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FB08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解码延迟</w:t>
            </w:r>
          </w:p>
        </w:tc>
        <w:tc>
          <w:tcPr>
            <w:tcW w:w="0" w:type="auto"/>
            <w:shd w:val="clear"/>
            <w:vAlign w:val="center"/>
          </w:tcPr>
          <w:p w14:paraId="61080E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vAlign w:val="center"/>
          </w:tcPr>
          <w:p w14:paraId="7B128F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中等（P帧）、高（B帧）</w:t>
            </w:r>
          </w:p>
        </w:tc>
        <w:tc>
          <w:tcPr>
            <w:tcW w:w="0" w:type="auto"/>
            <w:shd w:val="clear"/>
            <w:vAlign w:val="center"/>
          </w:tcPr>
          <w:p w14:paraId="1F753D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B帧需要前后参考帧，导致解码延迟</w:t>
            </w:r>
          </w:p>
        </w:tc>
      </w:tr>
      <w:tr w14:paraId="0E6A0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3F78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文件大小影响</w:t>
            </w:r>
          </w:p>
        </w:tc>
        <w:tc>
          <w:tcPr>
            <w:tcW w:w="0" w:type="auto"/>
            <w:shd w:val="clear"/>
            <w:vAlign w:val="center"/>
          </w:tcPr>
          <w:p w14:paraId="4D4AA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占用较多</w:t>
            </w:r>
          </w:p>
        </w:tc>
        <w:tc>
          <w:tcPr>
            <w:tcW w:w="0" w:type="auto"/>
            <w:shd w:val="clear"/>
            <w:vAlign w:val="center"/>
          </w:tcPr>
          <w:p w14:paraId="6C675F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占用较少</w:t>
            </w:r>
          </w:p>
        </w:tc>
        <w:tc>
          <w:tcPr>
            <w:tcW w:w="0" w:type="auto"/>
            <w:shd w:val="clear"/>
            <w:vAlign w:val="center"/>
          </w:tcPr>
          <w:p w14:paraId="5C9B0F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多B帧组合可显著减小视频码率</w:t>
            </w:r>
          </w:p>
        </w:tc>
      </w:tr>
      <w:tr w14:paraId="5C0FD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2BBE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  <w:tc>
          <w:tcPr>
            <w:tcW w:w="0" w:type="auto"/>
            <w:shd w:val="clear"/>
            <w:vAlign w:val="center"/>
          </w:tcPr>
          <w:p w14:paraId="6520B5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随机访问、关键帧</w:t>
            </w:r>
          </w:p>
        </w:tc>
        <w:tc>
          <w:tcPr>
            <w:tcW w:w="0" w:type="auto"/>
            <w:shd w:val="clear"/>
            <w:vAlign w:val="center"/>
          </w:tcPr>
          <w:p w14:paraId="44CA38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连续帧压缩、运动场景</w:t>
            </w:r>
          </w:p>
        </w:tc>
        <w:tc>
          <w:tcPr>
            <w:tcW w:w="0" w:type="auto"/>
            <w:shd w:val="clear"/>
            <w:vAlign w:val="center"/>
          </w:tcPr>
          <w:p w14:paraId="5841E0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I帧作为关键帧起到基准作用</w:t>
            </w:r>
          </w:p>
        </w:tc>
      </w:tr>
      <w:tr w14:paraId="03D0D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FEAD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视觉质量稳定性</w:t>
            </w:r>
          </w:p>
        </w:tc>
        <w:tc>
          <w:tcPr>
            <w:tcW w:w="0" w:type="auto"/>
            <w:shd w:val="clear"/>
            <w:vAlign w:val="center"/>
          </w:tcPr>
          <w:p w14:paraId="4D3FBA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69CCA7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/>
            <w:vAlign w:val="center"/>
          </w:tcPr>
          <w:p w14:paraId="0E6E82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I帧质量不受前帧影响，B帧可能出现误差累积</w:t>
            </w:r>
          </w:p>
        </w:tc>
      </w:tr>
      <w:tr w14:paraId="41C47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52BB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编码复杂度</w:t>
            </w:r>
          </w:p>
        </w:tc>
        <w:tc>
          <w:tcPr>
            <w:tcW w:w="0" w:type="auto"/>
            <w:shd w:val="clear"/>
            <w:vAlign w:val="center"/>
          </w:tcPr>
          <w:p w14:paraId="168D3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较低</w:t>
            </w:r>
          </w:p>
        </w:tc>
        <w:tc>
          <w:tcPr>
            <w:tcW w:w="0" w:type="auto"/>
            <w:shd w:val="clear"/>
            <w:vAlign w:val="center"/>
          </w:tcPr>
          <w:p w14:paraId="7C6727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较高</w:t>
            </w:r>
          </w:p>
        </w:tc>
        <w:tc>
          <w:tcPr>
            <w:tcW w:w="0" w:type="auto"/>
            <w:shd w:val="clear"/>
            <w:vAlign w:val="center"/>
          </w:tcPr>
          <w:p w14:paraId="2816FF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B帧需要运动估计和双向预测</w:t>
            </w:r>
          </w:p>
        </w:tc>
      </w:tr>
    </w:tbl>
    <w:p w14:paraId="49E02AB9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方正FW筑紫明朝 简 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a古典明朝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67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673</Words>
  <Characters>936</Characters>
  <Lines>0</Lines>
  <Paragraphs>0</Paragraphs>
  <TotalTime>2</TotalTime>
  <ScaleCrop>false</ScaleCrop>
  <LinksUpToDate>false</LinksUpToDate>
  <CharactersWithSpaces>1008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于洋</cp:lastModifiedBy>
  <dcterms:modified xsi:type="dcterms:W3CDTF">2025-12-11T03:12:43Z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eyJoZGlkIjoiMDQzNTBkZDhlMzAwNjU0YjA0YTMzNjY2N2JkNzc3YTYiLCJ1c2VySWQiOiIxNzYzNDI4NTI0In0=</vt:lpwstr>
  </property>
  <property fmtid="{D5CDD505-2E9C-101B-9397-08002B2CF9AE}" pid="3" name="KSOProductBuildVer">
    <vt:lpwstr>2052-12.1.0.24034</vt:lpwstr>
  </property>
  <property fmtid="{D5CDD505-2E9C-101B-9397-08002B2CF9AE}" pid="4" name="ICV">
    <vt:lpwstr>2AD8A838196247B49FFF5B89860406DD_12</vt:lpwstr>
  </property>
</Properties>
</file>