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C8E53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测试序列信息</w:t>
      </w:r>
    </w:p>
    <w:p w14:paraId="1B4D7540">
      <w:r>
        <w:t>测试序列：</w:t>
      </w:r>
      <w:r>
        <w:rPr>
          <w:rFonts w:hint="eastAsia" w:eastAsia="宋体"/>
          <w:lang w:val="en-US" w:eastAsia="zh-CN"/>
        </w:rPr>
        <w:t>f</w:t>
      </w:r>
      <w:r>
        <w:t>oreman</w:t>
      </w:r>
      <w:r>
        <w:rPr>
          <w:rFonts w:hint="eastAsia" w:eastAsia="宋体"/>
          <w:lang w:val="en-US" w:eastAsia="zh-CN"/>
        </w:rPr>
        <w:t>_</w:t>
      </w:r>
      <w:r>
        <w:t>cif.y4m</w:t>
      </w:r>
      <w:r>
        <w:br w:type="textWrapping"/>
      </w:r>
      <w:r>
        <w:t>分辨率：352x288</w:t>
      </w:r>
      <w:r>
        <w:br w:type="textWrapping"/>
      </w:r>
      <w:r>
        <w:t>块大小：16×16</w:t>
      </w:r>
      <w:r>
        <w:br w:type="textWrapping"/>
      </w:r>
      <w:r>
        <w:t>搜索范围：±16</w:t>
      </w:r>
      <w:r>
        <w:br w:type="textWrapping"/>
      </w:r>
      <w:r>
        <w:t>帧数：前两帧</w:t>
      </w:r>
    </w:p>
    <w:p w14:paraId="6E86B351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算法流程及说明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：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t xml:space="preserve">本实验实现了H.264运动估计算法，包括全搜索（FS）与三步法（TSS），基于SAD准则进行块匹配。 </w:t>
      </w:r>
      <w:r>
        <w:br w:type="textWrapping"/>
      </w:r>
      <w:r>
        <w:t xml:space="preserve">流程说明： </w:t>
      </w:r>
      <w:r>
        <w:br w:type="textWrapping"/>
      </w:r>
      <w:r>
        <w:t xml:space="preserve">- FS: 对每个16x16块在±16搜索窗口遍历所有位置，选择SAD最小向量。 </w:t>
      </w:r>
      <w:r>
        <w:br w:type="textWrapping"/>
      </w:r>
      <w:r>
        <w:t>- TSS: 逐步缩小搜索步长，每步检查9个候选点，快速收敛至最优运动向量</w:t>
      </w:r>
    </w:p>
    <w:p w14:paraId="52A25AC2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运动向量可视化</w:t>
      </w:r>
    </w:p>
    <w:p w14:paraId="4B941192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2.1 全搜索 FS</w:t>
      </w:r>
    </w:p>
    <w:p w14:paraId="77DCFDD8">
      <w:r>
        <w:drawing>
          <wp:inline distT="0" distB="0" distL="114300" distR="114300">
            <wp:extent cx="4572000" cy="374015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5547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2.2 三步搜索 TSS</w:t>
      </w:r>
    </w:p>
    <w:p w14:paraId="3B5D1FF6">
      <w:r>
        <w:drawing>
          <wp:inline distT="0" distB="0" distL="114300" distR="114300">
            <wp:extent cx="4572000" cy="374015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FFB9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残差图对比</w:t>
      </w:r>
    </w:p>
    <w:p w14:paraId="77F2E8E1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3.1 全搜索 FS</w:t>
      </w:r>
    </w:p>
    <w:p w14:paraId="5FB424FE">
      <w:r>
        <w:drawing>
          <wp:inline distT="0" distB="0" distL="114300" distR="114300">
            <wp:extent cx="4572000" cy="374015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264B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3.2 三步搜索 TSS</w:t>
      </w:r>
    </w:p>
    <w:p w14:paraId="542BBBDC">
      <w:r>
        <w:drawing>
          <wp:inline distT="0" distB="0" distL="114300" distR="114300">
            <wp:extent cx="4572000" cy="374015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0C68">
      <w:pPr>
        <w:pStyle w:val="3"/>
        <w:rPr>
          <w:rFonts w:hint="eastAsia" w:ascii="微软雅黑" w:hAnsi="微软雅黑" w:eastAsia="微软雅黑" w:cs="微软雅黑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6"/>
          <w:szCs w:val="26"/>
          <w:lang w:val="en-US" w:eastAsia="en-US" w:bidi="ar-SA"/>
        </w:rPr>
        <w:t>4. 性能指标对比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9C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9B0DB3">
            <w:pPr>
              <w:spacing w:after="0" w:line="240" w:lineRule="auto"/>
            </w:pPr>
            <w:r>
              <w:t>算法</w:t>
            </w:r>
          </w:p>
        </w:tc>
        <w:tc>
          <w:tcPr>
            <w:tcW w:w="2160" w:type="dxa"/>
          </w:tcPr>
          <w:p w14:paraId="6F93BE08">
            <w:pPr>
              <w:spacing w:after="0" w:line="240" w:lineRule="auto"/>
            </w:pPr>
            <w:r>
              <w:t>计算耗时 (s)</w:t>
            </w:r>
          </w:p>
        </w:tc>
        <w:tc>
          <w:tcPr>
            <w:tcW w:w="2160" w:type="dxa"/>
          </w:tcPr>
          <w:p w14:paraId="54FC3486">
            <w:pPr>
              <w:spacing w:after="0" w:line="240" w:lineRule="auto"/>
            </w:pPr>
            <w:r>
              <w:t>相对 TSS 加速比 (%)</w:t>
            </w:r>
          </w:p>
        </w:tc>
        <w:tc>
          <w:tcPr>
            <w:tcW w:w="2160" w:type="dxa"/>
          </w:tcPr>
          <w:p w14:paraId="707A2104">
            <w:pPr>
              <w:spacing w:after="0" w:line="240" w:lineRule="auto"/>
            </w:pPr>
            <w:r>
              <w:t>残差 PSNR (dB)</w:t>
            </w:r>
          </w:p>
        </w:tc>
      </w:tr>
      <w:tr w14:paraId="709F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E118AD">
            <w:pPr>
              <w:spacing w:after="0" w:line="240" w:lineRule="auto"/>
            </w:pPr>
            <w:r>
              <w:t>FS</w:t>
            </w:r>
          </w:p>
        </w:tc>
        <w:tc>
          <w:tcPr>
            <w:tcW w:w="2160" w:type="dxa"/>
          </w:tcPr>
          <w:p w14:paraId="541F666A">
            <w:pPr>
              <w:spacing w:after="0" w:line="240" w:lineRule="auto"/>
            </w:pPr>
            <w:r>
              <w:t>1.64</w:t>
            </w:r>
          </w:p>
        </w:tc>
        <w:tc>
          <w:tcPr>
            <w:tcW w:w="2160" w:type="dxa"/>
          </w:tcPr>
          <w:p w14:paraId="75946963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60BA98C4">
            <w:pPr>
              <w:spacing w:after="0" w:line="240" w:lineRule="auto"/>
            </w:pPr>
            <w:r>
              <w:t>-</w:t>
            </w:r>
          </w:p>
        </w:tc>
      </w:tr>
      <w:tr w14:paraId="21D3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0AB89">
            <w:pPr>
              <w:spacing w:after="0" w:line="240" w:lineRule="auto"/>
            </w:pPr>
            <w:r>
              <w:t>TSS</w:t>
            </w:r>
          </w:p>
        </w:tc>
        <w:tc>
          <w:tcPr>
            <w:tcW w:w="2160" w:type="dxa"/>
          </w:tcPr>
          <w:p w14:paraId="1BF94FAC">
            <w:pPr>
              <w:spacing w:after="0" w:line="240" w:lineRule="auto"/>
            </w:pPr>
            <w:r>
              <w:t>0.06</w:t>
            </w:r>
          </w:p>
        </w:tc>
        <w:tc>
          <w:tcPr>
            <w:tcW w:w="2160" w:type="dxa"/>
          </w:tcPr>
          <w:p w14:paraId="4B651460">
            <w:pPr>
              <w:spacing w:after="0" w:line="240" w:lineRule="auto"/>
            </w:pPr>
            <w:r>
              <w:t>96.32</w:t>
            </w:r>
          </w:p>
        </w:tc>
        <w:tc>
          <w:tcPr>
            <w:tcW w:w="2160" w:type="dxa"/>
          </w:tcPr>
          <w:p w14:paraId="770253AF">
            <w:pPr>
              <w:spacing w:after="0" w:line="240" w:lineRule="auto"/>
            </w:pPr>
            <w:r>
              <w:t>8.26</w:t>
            </w:r>
          </w:p>
        </w:tc>
      </w:tr>
    </w:tbl>
    <w:p w14:paraId="2A40254A">
      <w:pPr>
        <w:pStyle w:val="3"/>
        <w:rPr>
          <w:rFonts w:hint="eastAsia" w:ascii="微软雅黑" w:hAnsi="微软雅黑" w:eastAsia="微软雅黑" w:cs="微软雅黑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6"/>
          <w:szCs w:val="26"/>
          <w:lang w:val="en-US" w:eastAsia="en-US" w:bidi="ar-SA"/>
        </w:rPr>
        <w:t>5. 分析与总结</w:t>
      </w:r>
    </w:p>
    <w:p w14:paraId="6CDEE3CD">
      <w:r>
        <w:t>1. 三步搜索 TSS 相较全搜索 FS 耗时大幅下降 (~96%)，复杂度显著降低。</w:t>
      </w:r>
      <w:r>
        <w:br w:type="textWrapping"/>
      </w:r>
      <w:r>
        <w:t>2. PSNR 与 FS 对比为 8.26 dB，残差略大，但运动方向预测一致。</w:t>
      </w:r>
      <w:r>
        <w:br w:type="textWrapping"/>
      </w:r>
      <w:r>
        <w:t>3. TSS 通过逐步缩小搜索步长，每步只搜索 9 个候选点，而非全搜索的每个像素，减少大量计算。</w:t>
      </w:r>
      <w:r>
        <w:br w:type="textWrapping"/>
      </w:r>
      <w:r>
        <w:t>4. FS 每个块搜索 1089 个位置，TSS 每个块约 27 个位置，复杂度降低 &gt; 70%。</w:t>
      </w:r>
      <w:r>
        <w:br w:type="textWrapping"/>
      </w:r>
      <w:r>
        <w:t>5. TSS 保持较高预测精度，可用于视频编码实际应用。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BD7A6F"/>
    <w:rsid w:val="5F7F6456"/>
    <w:rsid w:val="6588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258</Words>
  <Characters>365</Characters>
  <Lines>0</Lines>
  <Paragraphs>0</Paragraphs>
  <TotalTime>1</TotalTime>
  <ScaleCrop>false</ScaleCrop>
  <LinksUpToDate>false</LinksUpToDate>
  <CharactersWithSpaces>411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2025-12-11T05:10:23Z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F2124CE2A9994526AAD0213B4346AD3F_12</vt:lpwstr>
  </property>
</Properties>
</file>