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1BF02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熵编码对比报告（仿真）</w:t>
      </w:r>
      <w:bookmarkStart w:id="0" w:name="_GoBack"/>
      <w:bookmarkEnd w:id="0"/>
    </w:p>
    <w:p w14:paraId="2659BDBA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1. 运行结果汇总</w:t>
      </w:r>
    </w:p>
    <w:p w14:paraId="691A1B4F">
      <w:r>
        <w:t>注意：所有码率均为“每量化系数的平均比特数”（bpsym），CABAC 为基于上下文的熵估计值（近似）。</w:t>
      </w:r>
      <w:r>
        <w:br w:type="textWrapping"/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D3F8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7C2C43">
            <w:r>
              <w:t>编码方式</w:t>
            </w:r>
          </w:p>
        </w:tc>
        <w:tc>
          <w:tcPr>
            <w:tcW w:w="2160" w:type="dxa"/>
          </w:tcPr>
          <w:p w14:paraId="6F31FE84">
            <w:r>
              <w:t>码率 (bpsym)</w:t>
            </w:r>
          </w:p>
        </w:tc>
        <w:tc>
          <w:tcPr>
            <w:tcW w:w="2160" w:type="dxa"/>
          </w:tcPr>
          <w:p w14:paraId="267D5721">
            <w:r>
              <w:t>时间 (s)</w:t>
            </w:r>
          </w:p>
        </w:tc>
        <w:tc>
          <w:tcPr>
            <w:tcW w:w="2160" w:type="dxa"/>
          </w:tcPr>
          <w:p w14:paraId="1D479DF3">
            <w:r>
              <w:t>解码一致</w:t>
            </w:r>
          </w:p>
        </w:tc>
      </w:tr>
      <w:tr w14:paraId="4BC87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87AC5F">
            <w:r>
              <w:t>静态 Huffman</w:t>
            </w:r>
          </w:p>
        </w:tc>
        <w:tc>
          <w:tcPr>
            <w:tcW w:w="2160" w:type="dxa"/>
          </w:tcPr>
          <w:p w14:paraId="6F96B63B">
            <w:r>
              <w:t>1.436</w:t>
            </w:r>
          </w:p>
        </w:tc>
        <w:tc>
          <w:tcPr>
            <w:tcW w:w="2160" w:type="dxa"/>
          </w:tcPr>
          <w:p w14:paraId="34865400">
            <w:r>
              <w:t>0.0317</w:t>
            </w:r>
          </w:p>
        </w:tc>
        <w:tc>
          <w:tcPr>
            <w:tcW w:w="2160" w:type="dxa"/>
          </w:tcPr>
          <w:p w14:paraId="67690402">
            <w:r>
              <w:t>True</w:t>
            </w:r>
          </w:p>
        </w:tc>
      </w:tr>
      <w:tr w14:paraId="54929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A1D057">
            <w:r>
              <w:t>动态 Huffman</w:t>
            </w:r>
          </w:p>
        </w:tc>
        <w:tc>
          <w:tcPr>
            <w:tcW w:w="2160" w:type="dxa"/>
          </w:tcPr>
          <w:p w14:paraId="7671C858">
            <w:r>
              <w:t>1.249</w:t>
            </w:r>
          </w:p>
        </w:tc>
        <w:tc>
          <w:tcPr>
            <w:tcW w:w="2160" w:type="dxa"/>
          </w:tcPr>
          <w:p w14:paraId="545496DD">
            <w:r>
              <w:t>0.0573</w:t>
            </w:r>
          </w:p>
        </w:tc>
        <w:tc>
          <w:tcPr>
            <w:tcW w:w="2160" w:type="dxa"/>
          </w:tcPr>
          <w:p w14:paraId="267F9C71">
            <w:r>
              <w:t>True</w:t>
            </w:r>
          </w:p>
        </w:tc>
      </w:tr>
      <w:tr w14:paraId="0F12A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D153BA">
            <w:r>
              <w:t>CAVLC (sim)</w:t>
            </w:r>
          </w:p>
        </w:tc>
        <w:tc>
          <w:tcPr>
            <w:tcW w:w="2160" w:type="dxa"/>
          </w:tcPr>
          <w:p w14:paraId="678446E6">
            <w:r>
              <w:t>1.172</w:t>
            </w:r>
          </w:p>
        </w:tc>
        <w:tc>
          <w:tcPr>
            <w:tcW w:w="2160" w:type="dxa"/>
          </w:tcPr>
          <w:p w14:paraId="41E32A1F">
            <w:r>
              <w:t>0.0649</w:t>
            </w:r>
          </w:p>
        </w:tc>
        <w:tc>
          <w:tcPr>
            <w:tcW w:w="2160" w:type="dxa"/>
          </w:tcPr>
          <w:p w14:paraId="75938E06">
            <w:r>
              <w:t>N/A</w:t>
            </w:r>
          </w:p>
        </w:tc>
      </w:tr>
      <w:tr w14:paraId="7D1C6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3499F7">
            <w:r>
              <w:t>CABAC (sim)</w:t>
            </w:r>
          </w:p>
        </w:tc>
        <w:tc>
          <w:tcPr>
            <w:tcW w:w="2160" w:type="dxa"/>
          </w:tcPr>
          <w:p w14:paraId="34D5412A">
            <w:r>
              <w:t>0.994</w:t>
            </w:r>
          </w:p>
        </w:tc>
        <w:tc>
          <w:tcPr>
            <w:tcW w:w="2160" w:type="dxa"/>
          </w:tcPr>
          <w:p w14:paraId="7A9E926F">
            <w:r>
              <w:t>0.3857</w:t>
            </w:r>
          </w:p>
        </w:tc>
        <w:tc>
          <w:tcPr>
            <w:tcW w:w="2160" w:type="dxa"/>
          </w:tcPr>
          <w:p w14:paraId="274C4662">
            <w:r>
              <w:t>N/A</w:t>
            </w:r>
          </w:p>
        </w:tc>
      </w:tr>
    </w:tbl>
    <w:p w14:paraId="4DAFBD1F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 Huffman 树示例 (全局)</w:t>
      </w:r>
    </w:p>
    <w:p w14:paraId="334D6568">
      <w:r>
        <w:drawing>
          <wp:inline distT="0" distB="0" distL="114300" distR="114300">
            <wp:extent cx="45720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C299">
      <w:pPr>
        <w:pStyle w:val="4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3. CABAC 上下文状态示意图</w:t>
      </w:r>
    </w:p>
    <w:p w14:paraId="79B563B0">
      <w:r>
        <w:drawing>
          <wp:inline distT="0" distB="0" distL="114300" distR="114300">
            <wp:extent cx="45720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72F2">
      <w:pPr>
        <w:pStyle w:val="4"/>
        <w:rPr>
          <w:rFonts w:hint="eastAsia" w:ascii="黑体" w:hAnsi="黑体" w:eastAsia="黑体" w:cs="黑体"/>
          <w:color w:val="auto"/>
        </w:rPr>
      </w:pPr>
      <w:r>
        <w:rPr>
          <w:rFonts w:hint="eastAsia" w:ascii="黑体" w:hAnsi="黑体" w:eastAsia="黑体" w:cs="黑体"/>
          <w:color w:val="auto"/>
        </w:rPr>
        <w:t>4. 分析与结论</w:t>
      </w:r>
    </w:p>
    <w:p w14:paraId="0C27DDE3">
      <w:r>
        <w:t>1) 动态 Huffman 利用局部（每块）统计，通常能降低码率（本实验中 observe 降低），但需要保存/传输每块的码表元信息或保证两端能重建相同上下文，因此实现复杂度和开销增大。</w:t>
      </w:r>
      <w:r>
        <w:br w:type="textWrapping"/>
      </w:r>
      <w:r>
        <w:br w:type="textWrapping"/>
      </w:r>
      <w:r>
        <w:t>2) CABAC（上下文自适应算术编码）通过对二值化符号使用上下文概率建模，并通过算术编码将接近真实概率的位信息映射为紧凑比特流，从而在统计非平稳且有空间局部性的信源上取得显著压缩提升。</w:t>
      </w:r>
      <w:r>
        <w:br w:type="textWrapping"/>
      </w:r>
      <w:r>
        <w:br w:type="textWrapping"/>
      </w:r>
      <w:r>
        <w:t>3) 在本仿真中，CABAC(sim) 的估计熵明显低于 CAVLC(sim) 与 Huffman，这体现了上下文建模 + 算术编码的优势；但 CABAC 的计算/建模开销也更高（时间上可观）。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5D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343</Words>
  <Characters>494</Characters>
  <Lines>0</Lines>
  <Paragraphs>0</Paragraphs>
  <TotalTime>0</TotalTime>
  <ScaleCrop>false</ScaleCrop>
  <LinksUpToDate>false</LinksUpToDate>
  <CharactersWithSpaces>523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于洋</cp:lastModifiedBy>
  <dcterms:modified xsi:type="dcterms:W3CDTF">2025-12-11T06:16:05Z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eyJoZGlkIjoiMDQzNTBkZDhlMzAwNjU0YjA0YTMzNjY2N2JkNzc3YTYiLCJ1c2VySWQiOiIxNzYzNDI4NTI0In0=</vt:lpwstr>
  </property>
  <property fmtid="{D5CDD505-2E9C-101B-9397-08002B2CF9AE}" pid="3" name="KSOProductBuildVer">
    <vt:lpwstr>2052-12.1.0.24034</vt:lpwstr>
  </property>
  <property fmtid="{D5CDD505-2E9C-101B-9397-08002B2CF9AE}" pid="4" name="ICV">
    <vt:lpwstr>52193EF719514932BF0C115A3196A3AE_12</vt:lpwstr>
  </property>
</Properties>
</file>