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D2433"/>
          <w:sz w:val="44"/>
          <w:szCs w:val="44"/>
        </w:rPr>
        <w:t xml:space="preserve">แผนการตรวจสอบคุณภาพเครื่องมือวิจัย</w:t>
      </w:r>
    </w:p>
    <w:p>
      <w:pPr>
        <w:spacing w:after="40"/>
        <w:jc w:val="center"/>
      </w:pPr>
      <w:r>
        <w:rPr>
          <w:color w:val="697089"/>
          <w:sz w:val="30"/>
          <w:szCs w:val="30"/>
        </w:rPr>
        <w:t xml:space="preserve">(Instrument Validation Plan)</w:t>
      </w:r>
    </w:p>
    <w:p>
      <w:pPr>
        <w:spacing w:after="30"/>
        <w:jc w:val="center"/>
      </w:pPr>
      <w:r>
        <w:rPr>
          <w:sz w:val="28"/>
          <w:szCs w:val="28"/>
        </w:rPr>
        <w:t xml:space="preserve">โครงการ PharmBot v2 — ระบบจำลองร้านขายยาชุมชนสำหรับนักศึกษาเภสัชศาสตร์</w:t>
      </w:r>
    </w:p>
    <w:p>
      <w:pPr>
        <w:spacing w:after="200"/>
        <w:jc w:val="center"/>
      </w:pPr>
      <w:r>
        <w:rPr>
          <w:color w:val="697089"/>
          <w:sz w:val="26"/>
          <w:szCs w:val="26"/>
        </w:rPr>
        <w:t xml:space="preserve">ฉบับร่างสำหรับหารือกับอาจารย์ที่ปรึกษา · 25 มิถุนายน 2026</w:t>
      </w:r>
    </w:p>
    <w:p>
      <w:pPr>
        <w:pBdr>
          <w:bottom w:val="single" w:color="2F6DF0" w:sz="6" w:space="1"/>
        </w:pBdr>
        <w:spacing w:after="160"/>
      </w:pPr>
      <w:r>
        <w:t xml:space="preserve"/>
      </w:r>
    </w:p>
    <w:p>
      <w:pPr>
        <w:pStyle w:val="Heading1"/>
        <w:spacing w:after="140" w:before="260"/>
      </w:pPr>
      <w:r>
        <w:t xml:space="preserve">1. หลักการและเหตุผล</w:t>
      </w:r>
    </w:p>
    <w:p>
      <w:pPr>
        <w:spacing w:after="120" w:line="300"/>
      </w:pPr>
      <w:r>
        <w:t xml:space="preserve">เนื่องจาก PharmBot v2 ทำหน้าที่เป็นเครื่องมือวัดผลในงานวิจัย ทั้งระบบจำลองและการให้คะแนนด้วย AI จึงต้องผ่านการตรวจสอบคุณภาพ (ความตรงและความเที่ยง) ก่อนนำไปเก็บข้อมูลจริง เพื่อให้ผลการวิจัยมีความน่าเชื่อถือและสามารถปกป้องในการสอบได้ เอกสารนี้สรุปแผนการตรวจสอบที่แนะนำ พร้อมวิธีการ สถิติ และเกณฑ์ผ่าน</w:t>
      </w:r>
    </w:p>
    <w:p>
      <w:pPr>
        <w:pStyle w:val="Heading1"/>
        <w:spacing w:after="140" w:before="260"/>
      </w:pPr>
      <w:r>
        <w:t xml:space="preserve">2. เครื่องมือที่ต้องตรวจสอบ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ระบบจำลอง + การให้คะแนนด้วย AI</w:t>
      </w:r>
      <w:r>
        <w:t xml:space="preserve"> — เคส, ผู้ป่วยจำลอง, checklist และเกณฑ์ให้คะแนน 4 ด้าน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แบบวัดความมั่นใจ (Self-efficacy)</w:t>
      </w:r>
      <w:r>
        <w:t xml:space="preserve"> — Likert 5 ข้อ วัดก่อน–หลัง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แบบประเมินการใช้งาน (SUS)</w:t>
      </w:r>
      <w:r>
        <w:t xml:space="preserve"> — 10 ข้อ มาตรฐาน ฉบับแปลไทย</w:t>
      </w:r>
    </w:p>
    <w:p>
      <w:pPr>
        <w:pStyle w:val="Heading1"/>
        <w:spacing w:after="140" w:before="260"/>
      </w:pPr>
      <w:r>
        <w:t xml:space="preserve">3. การตรวจสอบความตรง (Validity)</w:t>
      </w:r>
    </w:p>
    <w:p>
      <w:pPr>
        <w:pStyle w:val="Heading2"/>
        <w:spacing w:after="100" w:before="200"/>
      </w:pPr>
      <w:r>
        <w:t xml:space="preserve">3.1 ความตรงเชิงเนื้อหา (Content Validity) — ทำก่อนและสำคัญที่สุด</w:t>
      </w:r>
    </w:p>
    <w:p>
      <w:pPr>
        <w:spacing w:after="120" w:line="300"/>
      </w:pPr>
      <w:r>
        <w:t xml:space="preserve">ให้อาจารย์เภสัชกรผู้เชี่ยวชาญอย่างน้อย 3 ท่าน ประเมินว่าเคส พฤติกรรมผู้ป่วย checklist เกณฑ์ให้คะแนน และข้อคำถามในแบบสอบถาม สอดคล้องกับวัตถุประสงค์/สมรรถนะที่ต้องการวัดหรือไม่ แล้วคำนวณค่าดัชนีความสอดคล้อง (IOC) รายข้อ</w:t>
      </w:r>
    </w:p>
    <w:p>
      <w:pPr>
        <w:spacing w:after="120" w:line="300"/>
      </w:pPr>
      <w:r>
        <w:rPr>
          <w:b/>
          <w:bCs/>
        </w:rPr>
        <w:t xml:space="preserve">เกณฑ์: </w:t>
      </w:r>
      <w:r>
        <w:t xml:space="preserve">IOC ≥ 0.50 ถือว่าใช้ได้ ข้อที่ได้ต่ำกว่าเกณฑ์ให้ปรับแก้หรือตัดออกตามข้อเสนอแนะของผู้เชี่ยวชาญ (สูตร IOC = ผลรวมคะแนน +1/0/−1 ของผู้เชี่ยวชาญ หารด้วยจำนวนผู้เชี่ยวชาญ)</w:t>
      </w:r>
    </w:p>
    <w:p>
      <w:pPr>
        <w:pStyle w:val="Heading2"/>
        <w:spacing w:after="100" w:before="200"/>
      </w:pPr>
      <w:r>
        <w:t xml:space="preserve">3.2 ความตรงเชิงโครงสร้าง (Construct Validity)</w:t>
      </w:r>
    </w:p>
    <w:p>
      <w:pPr>
        <w:spacing w:after="120" w:line="300"/>
      </w:pPr>
      <w:r>
        <w:t xml:space="preserve">แสดงหลักฐานว่าเครื่องมือวัด construct ได้จริง เช่น known-groups (นักศึกษาชั้นปีสูงกว่าหรือกลุ่มที่ผ่านการฝึกควรได้คะแนนสูงกว่า) หรือความสัมพันธ์ของคะแนนกับผลการเรียน/คะแนน OSCE จริง</w:t>
      </w:r>
    </w:p>
    <w:p>
      <w:pPr>
        <w:pStyle w:val="Heading1"/>
        <w:spacing w:after="140" w:before="260"/>
      </w:pPr>
      <w:r>
        <w:t xml:space="preserve">4. การตรวจสอบความเที่ยง (Reliability)</w:t>
      </w:r>
    </w:p>
    <w:p>
      <w:pPr>
        <w:pStyle w:val="Heading2"/>
        <w:spacing w:after="100" w:before="200"/>
      </w:pPr>
      <w:r>
        <w:t xml:space="preserve">4.1 ความเที่ยงระหว่างผู้ประเมิน — AI เทียบกับมนุษย์ (เน้นที่สุด)</w:t>
      </w:r>
    </w:p>
    <w:p>
      <w:pPr>
        <w:spacing w:after="120" w:line="300"/>
      </w:pPr>
      <w:r>
        <w:t xml:space="preserve">เนื่องจากใช้ AI ให้คะแนน จุดนี้เป็นสิ่งที่กรรมการมักตั้งคำถามมากที่สุด ให้นำ transcript ชุดเดียวกัน (แนะนำ 20–30 ชุด ครอบคลุมหลายเคสและหลายระดับคะแนน) ให้ทั้ง AI และอาจารย์ผู้ประเมินอย่างน้อย 2 ท่าน ให้คะแนนอย่างเป็นอิสระ แล้วเปรียบเทียบความสอดคล้อง</w:t>
      </w:r>
    </w:p>
    <w:p>
      <w:pPr>
        <w:spacing w:after="120" w:line="300"/>
      </w:pPr>
      <w:r>
        <w:rPr>
          <w:b/>
          <w:bCs/>
        </w:rPr>
        <w:t xml:space="preserve">สถิติ: </w:t>
      </w:r>
      <w:r>
        <w:t xml:space="preserve">ICC (intraclass correlation) สำหรับคะแนนต่อเนื่อง หรือ weighted kappa สำหรับระดับ — เกณฑ์ ≥ 0.75 ถือว่าดี (field reasoning ที่เพิ่มในระบบช่วยให้คะแนนสม่ำเสมอและตรวจสอบเหตุผลได้)</w:t>
      </w:r>
    </w:p>
    <w:p>
      <w:pPr>
        <w:pStyle w:val="Heading2"/>
        <w:spacing w:after="100" w:before="200"/>
      </w:pPr>
      <w:r>
        <w:t xml:space="preserve">4.2 ความเที่ยงแบบ Test–Retest ของ AI</w:t>
      </w:r>
    </w:p>
    <w:p>
      <w:pPr>
        <w:spacing w:after="120" w:line="300"/>
      </w:pPr>
      <w:r>
        <w:t xml:space="preserve">เพราะ LLM มีความสุ่มแม้ตั้งค่า temperature ต่ำ (0.2) จึงควรรัน transcript เดิมซ้ำ 3–5 รอบ แล้วดูความนิ่งของคะแนน รายงานเป็น ICC หรือส่วนเบี่ยงเบนมาตรฐานของคะแนน เพื่อยืนยันว่าคะแนนที่ได้ใช้อ้างอิงได้</w:t>
      </w:r>
    </w:p>
    <w:p>
      <w:pPr>
        <w:pStyle w:val="Heading2"/>
        <w:spacing w:after="100" w:before="200"/>
      </w:pPr>
      <w:r>
        <w:t xml:space="preserve">4.3 ความสอดคล้องภายใน (Internal Consistency) ของแบบสอบถาม</w:t>
      </w:r>
    </w:p>
    <w:p>
      <w:pPr>
        <w:spacing w:after="120" w:line="300"/>
      </w:pPr>
      <w:r>
        <w:t xml:space="preserve">สำหรับแบบวัดความมั่นใจ คำนวณค่า Cronbach's alpha จากกลุ่มนำร่อง (≥ 30 คน) เกณฑ์ ≥ 0.70 ส่วน SUS เป็นเครื่องมือมาตรฐาน แต่ฉบับแปลไทยควรทำ back-translation และให้ผู้เชี่ยวชาญทวนความหมายให้ตรงต้นฉบับ</w:t>
      </w:r>
    </w:p>
    <w:p>
      <w:pPr>
        <w:pStyle w:val="Heading1"/>
        <w:spacing w:after="140" w:before="260"/>
      </w:pPr>
      <w:r>
        <w:t xml:space="preserve">5. ตารางสรุปแผนการตรวจสอบ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450"/>
        <w:gridCol w:w="1950"/>
        <w:gridCol w:w="1626"/>
        <w:gridCol w:w="1300"/>
        <w:gridCol w:w="1250"/>
      </w:tblGrid>
      <w:tr>
        <w:trPr>
          <w:tblHeader/>
        </w:trPr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D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เครื่องมือ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D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คุณสมบัติ</w:t>
            </w:r>
          </w:p>
        </w:tc>
        <w:tc>
          <w:tcPr>
            <w:tcW w:type="dxa" w:w="1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D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วิธีตรวจสอบ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D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ผู้ให้ข้อมูล / จำนวน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D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สถิติ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D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เกณฑ์ผ่าน</w:t>
            </w:r>
          </w:p>
        </w:tc>
      </w:tr>
      <w:tr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ระบบจำลอง + การให้คะแนนด้วย AI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ความตรงเชิงเนื้อหา</w:t>
            </w:r>
          </w:p>
        </w:tc>
        <w:tc>
          <w:tcPr>
            <w:tcW w:type="dxa" w:w="1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ผู้เชี่ยวชาญประเมินเคส/checklist/เกณฑ์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อ.เภสัชกร ≥ 3 ท่าน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IOC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≥ 0.50 รายข้อ</w:t>
            </w:r>
          </w:p>
        </w:tc>
      </w:tr>
      <w:tr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การให้คะแนนด้วย AI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ความเที่ยงระหว่างผู้ประเมิน (AI vs คน)</w:t>
            </w:r>
          </w:p>
        </w:tc>
        <w:tc>
          <w:tcPr>
            <w:tcW w:type="dxa" w:w="1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ให้คะแนน transcript ชุดเดียวกันอิสระ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AI + อ. ≥ 2 ท่าน, ≥ 20–30 transcript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ICC / weighted kappa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≥ 0.75</w:t>
            </w:r>
          </w:p>
        </w:tc>
      </w:tr>
      <w:tr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การให้คะแนนด้วย AI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ความเที่ยงแบบ test–retest</w:t>
            </w:r>
          </w:p>
        </w:tc>
        <w:tc>
          <w:tcPr>
            <w:tcW w:type="dxa" w:w="1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รัน transcript เดิมซ้ำหลายรอบ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≥ 20 transcript × 3–5 รอบ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ICC / SD ของคะแนน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ICC ≥ 0.80</w:t>
            </w:r>
          </w:p>
        </w:tc>
      </w:tr>
      <w:tr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แบบวัดความมั่นใจ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ความตรงเชิงเนื้อหา</w:t>
            </w:r>
          </w:p>
        </w:tc>
        <w:tc>
          <w:tcPr>
            <w:tcW w:type="dxa" w:w="1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ผู้เชี่ยวชาญประเมินรายข้อ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อ. ≥ 3 ท่าน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IOC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≥ 0.50 รายข้อ</w:t>
            </w:r>
          </w:p>
        </w:tc>
      </w:tr>
      <w:tr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แบบวัดความมั่นใจ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ความสอดคล้องภายใน</w:t>
            </w:r>
          </w:p>
        </w:tc>
        <w:tc>
          <w:tcPr>
            <w:tcW w:type="dxa" w:w="1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ทดลองใช้กับกลุ่มนำร่อง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นักศึกษานำร่อง ≥ 30 คน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Cronbach's alpha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≥ 0.70</w:t>
            </w:r>
          </w:p>
        </w:tc>
      </w:tr>
      <w:tr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แบบประเมิน SUS</w:t>
            </w:r>
          </w:p>
        </w:tc>
        <w:tc>
          <w:tcPr>
            <w:tcW w:type="dxa" w:w="14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ความเทียบเท่าฉบับแปล</w:t>
            </w:r>
          </w:p>
        </w:tc>
        <w:tc>
          <w:tcPr>
            <w:tcW w:type="dxa" w:w="1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back-translation + ผู้เชี่ยวชาญทวน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ผู้แปล 2 คน + อ. 1 ท่าน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เชิงคุณภาพ + IOC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ความหมายตรงต้นฉบับ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40" w:before="260"/>
      </w:pPr>
      <w:r>
        <w:t xml:space="preserve">6. ขั้นตอนและลำดับเวลา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ขั้นที่ 1: จัดทำชุดเอกสารให้ผู้เชี่ยวชาญ (เคส + checklist + เกณฑ์ + แบบฟอร์ม IOC)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ขั้นที่ 2: เก็บผลประเมินจากผู้เชี่ยวชาญ → คำนวณ IOC → ปรับแก้เครื่องมือ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ขั้นที่ 3: เตรียมชุด transcript ทดสอบ → ให้ AI และอาจารย์ให้คะแนน → คำนวณ ICC/kappa + test–retest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ขั้นที่ 4: Pilot test แบบสอบถามกับกลุ่มนำร่อง → คำนวณ Cronbach's alpha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ขั้นที่ 5: สรุปผลคุณภาพเครื่องมือ เขียนลงหัวข้อ “การตรวจสอบคุณภาพเครื่องมือ” ในระเบียบวิธีวิจัย แล้วจึงเริ่มเก็บข้อมูลจริง</w:t>
      </w:r>
    </w:p>
    <w:p>
      <w:pPr>
        <w:pStyle w:val="Heading1"/>
        <w:spacing w:after="140" w:before="260"/>
      </w:pPr>
      <w:r>
        <w:t xml:space="preserve">7. แบบฟอร์มประเมินความสอดคล้อง (IOC) สำหรับผู้เชี่ยวชาญ</w:t>
      </w:r>
    </w:p>
    <w:p>
      <w:pPr>
        <w:spacing w:after="120" w:line="300"/>
      </w:pPr>
      <w:r>
        <w:rPr>
          <w:b/>
          <w:bCs/>
        </w:rPr>
        <w:t xml:space="preserve">คำชี้แจง: </w:t>
      </w:r>
      <w:r>
        <w:t xml:space="preserve">โปรดทำเครื่องหมายในช่องคะแนน  +1 = สอดคล้อง,  0 = ไม่แน่ใจ,  −1 = ไม่สอดคล้อง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00"/>
        <w:gridCol w:w="700"/>
        <w:gridCol w:w="700"/>
        <w:gridCol w:w="700"/>
        <w:gridCol w:w="1726"/>
      </w:tblGrid>
      <w:tr>
        <w:trPr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D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ข้อที่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D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รายการที่ประเมิน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D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+1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D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0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D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-1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F6D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ข้อเสนอแนะ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เนื้อหาเคสสอดคล้องกับสถานการณ์จริงในร้านยาชุมชน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พฤติกรรมผู้ป่วยจำลองสมจริงและเหมาะสม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ข้อใน checklist ครอบคลุมสมรรถนะที่ต้องการวัด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เกณฑ์การให้คะแนนแต่ละด้านชัดเจนและเหมาะสม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น้ำหนักคะแนน (25/15/40/20) เหมาะสมกับความสำคัญ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ข้อ safety-critical (แพ้ยา/ตั้งครรภ์/refer) ถูกเน้นเพียงพอ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ยาที่กำหนดเป็นคำตอบถูกต้องตามแนวทางการรักษา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…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>(เพิ่มรายการตามเครื่องมือที่ประเมิน)</w:t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6"/>
              <w:jc w:val="left"/>
            </w:pPr>
            <w:r>
              <w:rPr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300"/>
      </w:pPr>
      <w:r>
        <w:rPr>
          <w:sz w:val="28"/>
          <w:szCs w:val="28"/>
        </w:rPr>
        <w:t xml:space="preserve">ลงชื่อผู้เชี่ยวชาญ ......................................................   ตำแหน่ง/สังกัด ..............................................   วันที่ ..................</w:t>
      </w:r>
    </w:p>
    <w:p>
      <w:pPr>
        <w:pStyle w:val="Heading1"/>
        <w:spacing w:after="140" w:before="260"/>
      </w:pPr>
      <w:r>
        <w:t xml:space="preserve">8. เอกสารอ้างอิง (แนะนำ)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คู่มือการพิมพ์วิทยานิพนธ์ มหาวิทยาลัยธรรมศาสตร์ (ไฟล์ในโฟลเดอร์โปรเจค)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แนวคิดดัชนี IOC (Rovinelli &amp; Hambleton) สำหรับความตรงเชิงเนื้อหา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Koo &amp; Li (2016) แนวทางการเลือกและรายงานค่า ICC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Brooke (1996) System Usability Scale (SUS)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งานวิจัย OSCE/OSPE ในเภสัชศาสตร์ (เช่น BMC Medical Education, PMC10091678) สำหรับกรอบการประเมินสมรรถนะ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4"/>
        <w:szCs w:val="24"/>
      </w:rPr>
      <w:t xml:space="preserve">PharmBot v2 · แผนตรวจสอบคุณภาพเครื่องมือวิจัย · หน้า </w:t>
    </w:r>
    <w:r>
      <w:rPr>
        <w:color w:val="888888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TH Sarabun New" w:cs="TH Sarabun New" w:eastAsia="TH Sarabun New" w:hAnsi="TH Sarabun New"/>
      <w:b/>
      <w:bCs/>
      <w:color w:val="1D24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H Sarabun New" w:cs="TH Sarabun New" w:eastAsia="TH Sarabun New" w:hAnsi="TH Sarabun New"/>
      <w:b/>
      <w:bCs/>
      <w:color w:val="2F6DF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2026-06-25T03:49:05.968Z</dcterms:created>
  <dcterms:modified xsi:type="dcterms:W3CDTF">2026-06-25T03:49:05.979Z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