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FEBE" w14:textId="77777777" w:rsidR="00691373" w:rsidRDefault="00691373" w:rsidP="00691373">
      <w:pPr>
        <w:spacing w:after="0" w:line="240" w:lineRule="auto"/>
        <w:contextualSpacing/>
        <w:rPr>
          <w:rFonts w:ascii="Times New Roman" w:eastAsia="Times New Roman" w:hAnsi="Times New Roman" w:cs="Times New Roman"/>
        </w:rPr>
      </w:pPr>
      <w:r w:rsidRPr="002C4FBA">
        <w:rPr>
          <w:rFonts w:ascii="Times New Roman" w:eastAsia="Times New Roman" w:hAnsi="Times New Roman" w:cs="Times New Roman"/>
          <w:b/>
        </w:rPr>
        <w:t>TITLE:</w:t>
      </w:r>
      <w:r w:rsidRPr="003E1A65">
        <w:rPr>
          <w:rFonts w:ascii="Times New Roman" w:eastAsia="Times New Roman" w:hAnsi="Times New Roman" w:cs="Times New Roman"/>
          <w:b/>
        </w:rPr>
        <w:t xml:space="preserve"> Physiologic Response to </w:t>
      </w:r>
      <w:r>
        <w:rPr>
          <w:rFonts w:ascii="Times New Roman" w:eastAsia="Times New Roman" w:hAnsi="Times New Roman" w:cs="Times New Roman"/>
          <w:b/>
        </w:rPr>
        <w:t>Commercial Fertilization Programs</w:t>
      </w:r>
      <w:r w:rsidRPr="003E1A65">
        <w:rPr>
          <w:rFonts w:ascii="Times New Roman" w:eastAsia="Times New Roman" w:hAnsi="Times New Roman" w:cs="Times New Roman"/>
          <w:b/>
        </w:rPr>
        <w:t xml:space="preserve"> in Pacific Northwest </w:t>
      </w:r>
      <w:r>
        <w:rPr>
          <w:rFonts w:ascii="Times New Roman" w:eastAsia="Times New Roman" w:hAnsi="Times New Roman" w:cs="Times New Roman"/>
          <w:b/>
        </w:rPr>
        <w:t xml:space="preserve">Forest </w:t>
      </w:r>
      <w:r w:rsidRPr="003E1A65">
        <w:rPr>
          <w:rFonts w:ascii="Times New Roman" w:eastAsia="Times New Roman" w:hAnsi="Times New Roman" w:cs="Times New Roman"/>
          <w:b/>
        </w:rPr>
        <w:t>Plantations</w:t>
      </w:r>
    </w:p>
    <w:p w14:paraId="47629351" w14:textId="77777777" w:rsidR="00691373" w:rsidRPr="002C4FBA" w:rsidRDefault="00691373" w:rsidP="00691373">
      <w:pPr>
        <w:spacing w:after="0" w:line="240" w:lineRule="auto"/>
        <w:contextualSpacing/>
        <w:rPr>
          <w:rFonts w:ascii="Times New Roman" w:eastAsia="Times New Roman" w:hAnsi="Times New Roman" w:cs="Times New Roman"/>
        </w:rPr>
      </w:pPr>
    </w:p>
    <w:p w14:paraId="2BBA7187" w14:textId="77777777" w:rsidR="00691373" w:rsidRPr="002C4FBA" w:rsidRDefault="00691373" w:rsidP="00691373">
      <w:pPr>
        <w:spacing w:after="0" w:line="240" w:lineRule="auto"/>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LOCATION:</w:t>
      </w:r>
      <w:r w:rsidRPr="002C4FBA">
        <w:rPr>
          <w:rFonts w:ascii="Times New Roman" w:eastAsia="Times New Roman" w:hAnsi="Times New Roman" w:cs="Times New Roman"/>
        </w:rPr>
        <w:t xml:space="preserve"> </w:t>
      </w:r>
      <w:r>
        <w:rPr>
          <w:rFonts w:ascii="Times New Roman" w:eastAsia="Times New Roman" w:hAnsi="Times New Roman" w:cs="Times New Roman"/>
        </w:rPr>
        <w:t>Oregon and Washington USA; British Col</w:t>
      </w:r>
      <w:r w:rsidR="00BE0FCC">
        <w:rPr>
          <w:rFonts w:ascii="Times New Roman" w:eastAsia="Times New Roman" w:hAnsi="Times New Roman" w:cs="Times New Roman"/>
        </w:rPr>
        <w:t>u</w:t>
      </w:r>
      <w:r>
        <w:rPr>
          <w:rFonts w:ascii="Times New Roman" w:eastAsia="Times New Roman" w:hAnsi="Times New Roman" w:cs="Times New Roman"/>
        </w:rPr>
        <w:t>mbia CDN</w:t>
      </w:r>
    </w:p>
    <w:p w14:paraId="2AA21F7C" w14:textId="77777777" w:rsidR="00691373" w:rsidRPr="002C4FBA" w:rsidRDefault="00691373" w:rsidP="00691373">
      <w:pPr>
        <w:spacing w:after="0" w:line="240" w:lineRule="auto"/>
        <w:contextualSpacing/>
        <w:rPr>
          <w:rFonts w:ascii="Times New Roman" w:eastAsia="Times New Roman" w:hAnsi="Times New Roman" w:cs="Times New Roman"/>
        </w:rPr>
      </w:pPr>
    </w:p>
    <w:p w14:paraId="289EB0EA" w14:textId="77777777" w:rsidR="00691373" w:rsidRDefault="00691373" w:rsidP="00691373">
      <w:pPr>
        <w:spacing w:after="0" w:line="240" w:lineRule="auto"/>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DATE: </w:t>
      </w:r>
      <w:r w:rsidR="00BE0FCC">
        <w:rPr>
          <w:rFonts w:ascii="Times New Roman" w:eastAsia="Times New Roman" w:hAnsi="Times New Roman" w:cs="Times New Roman"/>
        </w:rPr>
        <w:t>24</w:t>
      </w:r>
      <w:r>
        <w:rPr>
          <w:rFonts w:ascii="Times New Roman" w:eastAsia="Times New Roman" w:hAnsi="Times New Roman" w:cs="Times New Roman"/>
        </w:rPr>
        <w:t xml:space="preserve"> </w:t>
      </w:r>
      <w:r w:rsidR="00BE0FCC">
        <w:rPr>
          <w:rFonts w:ascii="Times New Roman" w:eastAsia="Times New Roman" w:hAnsi="Times New Roman" w:cs="Times New Roman"/>
        </w:rPr>
        <w:t>July</w:t>
      </w:r>
      <w:r>
        <w:rPr>
          <w:rFonts w:ascii="Times New Roman" w:eastAsia="Times New Roman" w:hAnsi="Times New Roman" w:cs="Times New Roman"/>
        </w:rPr>
        <w:t xml:space="preserve"> 2018</w:t>
      </w:r>
    </w:p>
    <w:p w14:paraId="6AF5C4D1" w14:textId="77777777" w:rsidR="00691373" w:rsidRPr="009C60DA" w:rsidRDefault="00691373" w:rsidP="00691373">
      <w:pPr>
        <w:spacing w:after="0" w:line="240" w:lineRule="auto"/>
        <w:contextualSpacing/>
        <w:rPr>
          <w:rFonts w:ascii="Times New Roman" w:eastAsia="Times New Roman" w:hAnsi="Times New Roman" w:cs="Times New Roman"/>
          <w:b/>
          <w:u w:val="single"/>
        </w:rPr>
      </w:pPr>
    </w:p>
    <w:p w14:paraId="718C6E86" w14:textId="77777777" w:rsidR="00691373" w:rsidRDefault="00691373" w:rsidP="00691373">
      <w:pPr>
        <w:spacing w:after="0" w:line="240" w:lineRule="auto"/>
        <w:contextualSpacing/>
        <w:rPr>
          <w:rFonts w:ascii="Times New Roman" w:eastAsia="Times New Roman" w:hAnsi="Times New Roman" w:cs="Times New Roman"/>
          <w:b/>
          <w:u w:val="single"/>
        </w:rPr>
      </w:pPr>
      <w:r w:rsidRPr="009C60DA">
        <w:rPr>
          <w:rFonts w:ascii="Times New Roman" w:eastAsia="Times New Roman" w:hAnsi="Times New Roman" w:cs="Times New Roman"/>
          <w:b/>
          <w:u w:val="single"/>
        </w:rPr>
        <w:t xml:space="preserve">PROJECT OBJECTIVES </w:t>
      </w:r>
    </w:p>
    <w:p w14:paraId="3378FA66" w14:textId="77777777" w:rsidR="00691373" w:rsidRDefault="00691373" w:rsidP="00691373">
      <w:pPr>
        <w:spacing w:after="0" w:line="240" w:lineRule="auto"/>
        <w:contextualSpacing/>
        <w:rPr>
          <w:rFonts w:ascii="Times New Roman" w:eastAsia="Times New Roman" w:hAnsi="Times New Roman" w:cs="Times New Roman"/>
          <w:b/>
          <w:u w:val="single"/>
        </w:rPr>
      </w:pPr>
    </w:p>
    <w:p w14:paraId="432AEE4D" w14:textId="77777777" w:rsidR="00691373" w:rsidRPr="002C00D5" w:rsidRDefault="00691373" w:rsidP="00691373">
      <w:pPr>
        <w:spacing w:after="0" w:line="240" w:lineRule="auto"/>
        <w:contextualSpacing/>
        <w:rPr>
          <w:rFonts w:ascii="Times New Roman" w:eastAsia="Times New Roman" w:hAnsi="Times New Roman" w:cs="Times New Roman"/>
        </w:rPr>
      </w:pPr>
      <w:r w:rsidRPr="002C00D5">
        <w:rPr>
          <w:rFonts w:ascii="Times New Roman" w:eastAsia="Times New Roman" w:hAnsi="Times New Roman" w:cs="Times New Roman"/>
        </w:rPr>
        <w:t xml:space="preserve">The overall objective of the proposed project is to assess </w:t>
      </w:r>
      <w:r>
        <w:rPr>
          <w:rFonts w:ascii="Times New Roman" w:eastAsia="Times New Roman" w:hAnsi="Times New Roman" w:cs="Times New Roman"/>
        </w:rPr>
        <w:t>forest</w:t>
      </w:r>
      <w:r w:rsidRPr="002C00D5">
        <w:rPr>
          <w:rFonts w:ascii="Times New Roman" w:eastAsia="Times New Roman" w:hAnsi="Times New Roman" w:cs="Times New Roman"/>
        </w:rPr>
        <w:t xml:space="preserve"> ecophysiology </w:t>
      </w:r>
      <w:r>
        <w:rPr>
          <w:rFonts w:ascii="Times New Roman" w:eastAsia="Times New Roman" w:hAnsi="Times New Roman" w:cs="Times New Roman"/>
        </w:rPr>
        <w:t>patterns in</w:t>
      </w:r>
      <w:r w:rsidRPr="002C00D5">
        <w:rPr>
          <w:rFonts w:ascii="Times New Roman" w:eastAsia="Times New Roman" w:hAnsi="Times New Roman" w:cs="Times New Roman"/>
        </w:rPr>
        <w:t xml:space="preserve"> operational </w:t>
      </w:r>
      <w:r>
        <w:rPr>
          <w:rFonts w:ascii="Times New Roman" w:eastAsia="Times New Roman" w:hAnsi="Times New Roman" w:cs="Times New Roman"/>
        </w:rPr>
        <w:t>nutrition programs</w:t>
      </w:r>
      <w:r w:rsidRPr="002C00D5">
        <w:rPr>
          <w:rFonts w:ascii="Times New Roman" w:eastAsia="Times New Roman" w:hAnsi="Times New Roman" w:cs="Times New Roman"/>
        </w:rPr>
        <w:t xml:space="preserve"> across the Pacific Northwest region. Specific objectives include:</w:t>
      </w:r>
    </w:p>
    <w:p w14:paraId="6104D23E" w14:textId="77777777" w:rsidR="00691373" w:rsidRDefault="00691373" w:rsidP="00691373">
      <w:pPr>
        <w:spacing w:after="0" w:line="240" w:lineRule="auto"/>
        <w:contextualSpacing/>
        <w:rPr>
          <w:rFonts w:ascii="Times New Roman" w:eastAsia="Times New Roman" w:hAnsi="Times New Roman" w:cs="Times New Roman"/>
          <w:b/>
          <w:u w:val="single"/>
        </w:rPr>
      </w:pPr>
    </w:p>
    <w:p w14:paraId="11027F4D" w14:textId="77777777" w:rsidR="00691373" w:rsidRPr="00B13AA8" w:rsidRDefault="00691373" w:rsidP="00691373">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Investigate causal mechanisms between edaphic variables and physiological processes across the leaf, tree, and stand scales under variations in fertilization timing and stand/site conditions</w:t>
      </w:r>
    </w:p>
    <w:p w14:paraId="27DA5A3B" w14:textId="77777777" w:rsidR="00691373" w:rsidRDefault="00691373" w:rsidP="00691373">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Provide empirical data to inform silvicultural treatment response in Growth and Yield (G&amp;Y) prediction and projection systems and regional resource management support under current conditions and variations in future climate</w:t>
      </w:r>
    </w:p>
    <w:p w14:paraId="7EC4582E" w14:textId="77777777" w:rsidR="00691373" w:rsidRDefault="00691373" w:rsidP="00691373">
      <w:pPr>
        <w:pStyle w:val="ListParagraph"/>
        <w:numPr>
          <w:ilvl w:val="0"/>
          <w:numId w:val="1"/>
        </w:numPr>
        <w:spacing w:after="0" w:line="240" w:lineRule="auto"/>
        <w:rPr>
          <w:rFonts w:ascii="Times New Roman" w:eastAsia="Times New Roman" w:hAnsi="Times New Roman" w:cs="Times New Roman"/>
        </w:rPr>
      </w:pPr>
      <w:r>
        <w:rPr>
          <w:rFonts w:ascii="Times New Roman" w:eastAsia="Times New Roman" w:hAnsi="Times New Roman" w:cs="Times New Roman"/>
        </w:rPr>
        <w:t>Develop regional spatiotemporal silvicultural nutrition guidelines for commercial forest operations</w:t>
      </w:r>
    </w:p>
    <w:p w14:paraId="4D77D93E" w14:textId="77777777" w:rsidR="00691373" w:rsidRPr="00630C03" w:rsidRDefault="00691373" w:rsidP="00691373">
      <w:pPr>
        <w:spacing w:after="0" w:line="240" w:lineRule="auto"/>
        <w:rPr>
          <w:rFonts w:ascii="Times New Roman" w:eastAsia="Times New Roman" w:hAnsi="Times New Roman" w:cs="Times New Roman"/>
        </w:rPr>
      </w:pPr>
    </w:p>
    <w:p w14:paraId="09D5F52C" w14:textId="77777777" w:rsidR="00691373" w:rsidRPr="009C60DA" w:rsidRDefault="00691373" w:rsidP="00691373">
      <w:pPr>
        <w:spacing w:after="0" w:line="240" w:lineRule="auto"/>
        <w:contextualSpacing/>
        <w:rPr>
          <w:rFonts w:ascii="Times New Roman" w:eastAsia="Times New Roman" w:hAnsi="Times New Roman" w:cs="Times New Roman"/>
          <w:u w:val="single"/>
        </w:rPr>
      </w:pPr>
      <w:r w:rsidRPr="009C60DA">
        <w:rPr>
          <w:rFonts w:ascii="Times New Roman" w:eastAsia="Times New Roman" w:hAnsi="Times New Roman" w:cs="Times New Roman"/>
          <w:b/>
          <w:u w:val="single"/>
        </w:rPr>
        <w:t>JUSTIFICATION</w:t>
      </w:r>
      <w:r w:rsidRPr="009C60DA">
        <w:rPr>
          <w:rFonts w:ascii="Times New Roman" w:eastAsia="Times New Roman" w:hAnsi="Times New Roman" w:cs="Times New Roman"/>
          <w:u w:val="single"/>
        </w:rPr>
        <w:t xml:space="preserve"> </w:t>
      </w:r>
    </w:p>
    <w:p w14:paraId="702B3DB2" w14:textId="77777777" w:rsidR="00691373" w:rsidRDefault="00691373" w:rsidP="00691373">
      <w:pPr>
        <w:spacing w:after="0" w:line="240" w:lineRule="auto"/>
        <w:ind w:left="360" w:hanging="360"/>
        <w:contextualSpacing/>
        <w:rPr>
          <w:rFonts w:ascii="Times New Roman" w:eastAsia="Times New Roman" w:hAnsi="Times New Roman" w:cs="Times New Roman"/>
          <w:b/>
          <w:lang w:eastAsia="x-none"/>
        </w:rPr>
      </w:pPr>
    </w:p>
    <w:p w14:paraId="45EAD604" w14:textId="77777777" w:rsidR="00691373" w:rsidRDefault="00691373" w:rsidP="00691373">
      <w:pPr>
        <w:spacing w:after="0" w:line="240" w:lineRule="auto"/>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val="x-none" w:eastAsia="x-none"/>
        </w:rPr>
        <w:t xml:space="preserve">Linkage to </w:t>
      </w:r>
      <w:r>
        <w:rPr>
          <w:rFonts w:ascii="Times New Roman" w:eastAsia="Times New Roman" w:hAnsi="Times New Roman" w:cs="Times New Roman"/>
          <w:b/>
          <w:lang w:eastAsia="x-none"/>
        </w:rPr>
        <w:t>the Center for Advanced Forestry Systems (CAFS) research plan</w:t>
      </w:r>
      <w:r w:rsidRPr="002C4FBA">
        <w:rPr>
          <w:rFonts w:ascii="Times New Roman" w:eastAsia="Times New Roman" w:hAnsi="Times New Roman" w:cs="Times New Roman"/>
          <w:lang w:val="x-none" w:eastAsia="x-none"/>
        </w:rPr>
        <w:t xml:space="preserve"> </w:t>
      </w:r>
    </w:p>
    <w:p w14:paraId="5D213723" w14:textId="77777777" w:rsidR="00691373" w:rsidRPr="00A52C36" w:rsidRDefault="00691373" w:rsidP="00691373">
      <w:pPr>
        <w:spacing w:after="0" w:line="240" w:lineRule="auto"/>
        <w:ind w:left="360" w:hanging="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ab/>
      </w:r>
      <w:r>
        <w:rPr>
          <w:rFonts w:ascii="Times New Roman" w:eastAsia="Times New Roman" w:hAnsi="Times New Roman" w:cs="Times New Roman"/>
          <w:lang w:eastAsia="x-none"/>
        </w:rPr>
        <w:t xml:space="preserve">Sustainable growth and productivity in the forest industry has been identified as a priority subject area in the National Science Foundation Industry/University Cooperative Research Centers (I/UCRC) program. This proposed project aims to assess the role of silvicultural treatments on terrestrial C sequestration and commodity production across the Pacific Northwest Region of North America, and synthesize these findings into management guidelines. </w:t>
      </w:r>
    </w:p>
    <w:p w14:paraId="5E4D11D4" w14:textId="77777777" w:rsidR="00691373" w:rsidRDefault="00691373" w:rsidP="00691373">
      <w:pPr>
        <w:spacing w:after="0" w:line="240" w:lineRule="auto"/>
        <w:ind w:left="360" w:hanging="360"/>
        <w:contextualSpacing/>
        <w:rPr>
          <w:rFonts w:ascii="Times New Roman" w:eastAsia="Times New Roman" w:hAnsi="Times New Roman" w:cs="Times New Roman"/>
          <w:b/>
          <w:lang w:eastAsia="x-none"/>
        </w:rPr>
      </w:pPr>
    </w:p>
    <w:p w14:paraId="4DB1E33B" w14:textId="77777777" w:rsidR="00691373" w:rsidRDefault="00691373" w:rsidP="00691373">
      <w:pPr>
        <w:spacing w:after="0" w:line="240" w:lineRule="auto"/>
        <w:ind w:left="360" w:hanging="360"/>
        <w:contextualSpacing/>
        <w:rPr>
          <w:rFonts w:ascii="Times New Roman" w:eastAsia="Times New Roman" w:hAnsi="Times New Roman" w:cs="Times New Roman"/>
          <w:lang w:eastAsia="x-none"/>
        </w:rPr>
      </w:pPr>
      <w:r w:rsidRPr="002C4FBA">
        <w:rPr>
          <w:rFonts w:ascii="Times New Roman" w:eastAsia="Times New Roman" w:hAnsi="Times New Roman" w:cs="Times New Roman"/>
          <w:b/>
          <w:lang w:eastAsia="x-none"/>
        </w:rPr>
        <w:t xml:space="preserve">Significance/Impact of </w:t>
      </w:r>
      <w:r>
        <w:rPr>
          <w:rFonts w:ascii="Times New Roman" w:eastAsia="Times New Roman" w:hAnsi="Times New Roman" w:cs="Times New Roman"/>
          <w:b/>
          <w:lang w:eastAsia="x-none"/>
        </w:rPr>
        <w:t>Management</w:t>
      </w:r>
      <w:r w:rsidRPr="002C4FBA">
        <w:rPr>
          <w:rFonts w:ascii="Times New Roman" w:eastAsia="Times New Roman" w:hAnsi="Times New Roman" w:cs="Times New Roman"/>
          <w:b/>
          <w:lang w:eastAsia="x-none"/>
        </w:rPr>
        <w:t xml:space="preserve"> Issue</w:t>
      </w:r>
      <w:r>
        <w:rPr>
          <w:rFonts w:ascii="Times New Roman" w:eastAsia="Times New Roman" w:hAnsi="Times New Roman" w:cs="Times New Roman"/>
          <w:lang w:eastAsia="x-none"/>
        </w:rPr>
        <w:t xml:space="preserve"> </w:t>
      </w:r>
    </w:p>
    <w:p w14:paraId="3C6739E2" w14:textId="77777777" w:rsidR="00691373" w:rsidRDefault="00691373" w:rsidP="00691373">
      <w:pPr>
        <w:spacing w:after="0" w:line="240" w:lineRule="auto"/>
        <w:ind w:left="360"/>
        <w:contextualSpacing/>
        <w:rPr>
          <w:rFonts w:ascii="Times New Roman" w:eastAsia="Times New Roman" w:hAnsi="Times New Roman" w:cs="Times New Roman"/>
          <w:lang w:eastAsia="x-none"/>
        </w:rPr>
      </w:pPr>
      <w:r>
        <w:rPr>
          <w:rFonts w:ascii="Times New Roman" w:eastAsia="Times New Roman" w:hAnsi="Times New Roman" w:cs="Times New Roman"/>
          <w:lang w:eastAsia="x-none"/>
        </w:rPr>
        <w:t xml:space="preserve">Forest productivity is commonly limited by site nutrient availability, and deficiencies can result in extended rotations, forest health issues, and ultimately, unrealized volume gain. The forest products industry of Oregon and Washington contributes a combined $50 billion to the annual regional economy, and while fertilization is perhaps one of the most commonly applied silvicultural practices, little is known about the optimal timing and prioritization of lands for nutrient amendments. These processes have direct influences on terrestrial C sequestration and commodity volume and value. Therefore, additional information and site/stand conditions and quantifying causal mechanisms are needed for treatment deployment and matching silvicultural practices to site specific nutrient cycling rates and inherent productivity.     </w:t>
      </w:r>
    </w:p>
    <w:p w14:paraId="5F2458B5" w14:textId="77777777" w:rsidR="00691373" w:rsidRDefault="00691373" w:rsidP="00691373">
      <w:pPr>
        <w:spacing w:after="0" w:line="240" w:lineRule="auto"/>
        <w:contextualSpacing/>
        <w:rPr>
          <w:rFonts w:ascii="Times New Roman" w:eastAsia="Times New Roman" w:hAnsi="Times New Roman" w:cs="Times New Roman"/>
          <w:b/>
          <w:lang w:eastAsia="x-none"/>
        </w:rPr>
      </w:pPr>
    </w:p>
    <w:p w14:paraId="106C0E25" w14:textId="77777777" w:rsidR="00691373" w:rsidRDefault="00691373" w:rsidP="00691373">
      <w:pPr>
        <w:spacing w:after="0" w:line="240" w:lineRule="auto"/>
        <w:ind w:left="360" w:hanging="360"/>
        <w:contextualSpacing/>
        <w:rPr>
          <w:rFonts w:ascii="Times New Roman" w:eastAsia="Times New Roman" w:hAnsi="Times New Roman" w:cs="Times New Roman"/>
          <w:lang w:val="x-none" w:eastAsia="x-none"/>
        </w:rPr>
      </w:pPr>
      <w:r w:rsidRPr="002C4FBA">
        <w:rPr>
          <w:rFonts w:ascii="Times New Roman" w:eastAsia="Times New Roman" w:hAnsi="Times New Roman" w:cs="Times New Roman"/>
          <w:b/>
          <w:lang w:eastAsia="x-none"/>
        </w:rPr>
        <w:t>Cost/Economic Efficiency</w:t>
      </w:r>
      <w:r w:rsidRPr="002C4FBA">
        <w:rPr>
          <w:rFonts w:ascii="Times New Roman" w:eastAsia="Times New Roman" w:hAnsi="Times New Roman" w:cs="Times New Roman"/>
          <w:lang w:val="x-none" w:eastAsia="x-none"/>
        </w:rPr>
        <w:t xml:space="preserve"> </w:t>
      </w:r>
    </w:p>
    <w:p w14:paraId="1C67549F" w14:textId="77777777" w:rsidR="00691373" w:rsidRDefault="00691373" w:rsidP="00691373">
      <w:pPr>
        <w:spacing w:after="0" w:line="240" w:lineRule="auto"/>
        <w:ind w:left="360"/>
        <w:contextualSpacing/>
        <w:rPr>
          <w:rFonts w:ascii="Times New Roman" w:eastAsia="Times New Roman" w:hAnsi="Times New Roman" w:cs="Times New Roman"/>
          <w:lang w:eastAsia="x-none"/>
        </w:rPr>
      </w:pPr>
      <w:r>
        <w:rPr>
          <w:rFonts w:ascii="Times New Roman" w:eastAsia="Times New Roman" w:hAnsi="Times New Roman" w:cs="Times New Roman"/>
          <w:lang w:val="x-none" w:eastAsia="x-none"/>
        </w:rPr>
        <w:t>This project aims to leverage existing regional research plot networks that have been established for biogeochemical assessment of nutrient management regimes</w:t>
      </w:r>
      <w:r>
        <w:rPr>
          <w:rFonts w:ascii="Times New Roman" w:eastAsia="Times New Roman" w:hAnsi="Times New Roman" w:cs="Times New Roman"/>
          <w:lang w:eastAsia="x-none"/>
        </w:rPr>
        <w:t xml:space="preserve"> (Project ID 16.69). The utility of an existing study network offers a considerable benefit in allocation of sampling resources and time needed for completion of project and outlined deliverables. Therefore, amending this proposed sampling program to current efforts is disproportionate to the anticipated products and benefits to regional and adaptive forest management. </w:t>
      </w:r>
    </w:p>
    <w:p w14:paraId="43260D8F" w14:textId="77777777" w:rsidR="00691373" w:rsidRDefault="00691373" w:rsidP="00691373">
      <w:pPr>
        <w:spacing w:after="0" w:line="240" w:lineRule="auto"/>
        <w:ind w:left="360"/>
        <w:contextualSpacing/>
        <w:rPr>
          <w:rFonts w:ascii="Times New Roman" w:eastAsia="Times New Roman" w:hAnsi="Times New Roman" w:cs="Times New Roman"/>
          <w:lang w:eastAsia="x-none"/>
        </w:rPr>
      </w:pPr>
    </w:p>
    <w:p w14:paraId="25E310D3" w14:textId="77777777" w:rsidR="00691373" w:rsidRDefault="00691373" w:rsidP="00691373">
      <w:pPr>
        <w:spacing w:after="0" w:line="240" w:lineRule="auto"/>
        <w:contextualSpacing/>
        <w:rPr>
          <w:rFonts w:ascii="Times New Roman" w:hAnsi="Times New Roman" w:cs="Times New Roman"/>
          <w:b/>
          <w:u w:val="single"/>
        </w:rPr>
      </w:pPr>
    </w:p>
    <w:p w14:paraId="13093B62" w14:textId="77777777" w:rsidR="00BE0FCC" w:rsidRDefault="00BE0FCC" w:rsidP="00691373">
      <w:pPr>
        <w:spacing w:after="0" w:line="240" w:lineRule="auto"/>
        <w:contextualSpacing/>
        <w:rPr>
          <w:rFonts w:ascii="Times New Roman" w:hAnsi="Times New Roman" w:cs="Times New Roman"/>
          <w:b/>
          <w:u w:val="single"/>
        </w:rPr>
      </w:pPr>
    </w:p>
    <w:p w14:paraId="6437D213" w14:textId="77777777" w:rsidR="00BE0FCC" w:rsidRDefault="00BE0FCC" w:rsidP="00691373">
      <w:pPr>
        <w:spacing w:after="0" w:line="240" w:lineRule="auto"/>
        <w:contextualSpacing/>
        <w:rPr>
          <w:rFonts w:ascii="Times New Roman" w:hAnsi="Times New Roman" w:cs="Times New Roman"/>
          <w:b/>
          <w:u w:val="single"/>
        </w:rPr>
      </w:pPr>
    </w:p>
    <w:p w14:paraId="4C831AF0" w14:textId="77777777" w:rsidR="00691373" w:rsidRPr="009C60DA" w:rsidRDefault="00691373" w:rsidP="00691373">
      <w:pPr>
        <w:spacing w:after="0" w:line="240" w:lineRule="auto"/>
        <w:contextualSpacing/>
        <w:rPr>
          <w:rFonts w:ascii="Times New Roman" w:hAnsi="Times New Roman" w:cs="Times New Roman"/>
          <w:b/>
          <w:u w:val="single"/>
        </w:rPr>
      </w:pPr>
      <w:r>
        <w:rPr>
          <w:rFonts w:ascii="Times New Roman" w:hAnsi="Times New Roman" w:cs="Times New Roman"/>
          <w:b/>
          <w:u w:val="single"/>
        </w:rPr>
        <w:lastRenderedPageBreak/>
        <w:t>D</w:t>
      </w:r>
      <w:r w:rsidRPr="009C60DA">
        <w:rPr>
          <w:rFonts w:ascii="Times New Roman" w:hAnsi="Times New Roman" w:cs="Times New Roman"/>
          <w:b/>
          <w:u w:val="single"/>
        </w:rPr>
        <w:t>ESCRIPTION</w:t>
      </w:r>
    </w:p>
    <w:p w14:paraId="5CAD4293" w14:textId="77777777" w:rsidR="00691373" w:rsidRDefault="00691373" w:rsidP="00691373">
      <w:pPr>
        <w:spacing w:after="0" w:line="240" w:lineRule="auto"/>
        <w:contextualSpacing/>
        <w:rPr>
          <w:rFonts w:ascii="Times New Roman" w:hAnsi="Times New Roman" w:cs="Times New Roman"/>
          <w:b/>
        </w:rPr>
      </w:pPr>
    </w:p>
    <w:p w14:paraId="7DDFF5FD" w14:textId="77777777" w:rsidR="00691373" w:rsidRDefault="00691373" w:rsidP="00691373">
      <w:pPr>
        <w:spacing w:after="0" w:line="240" w:lineRule="auto"/>
        <w:contextualSpacing/>
        <w:rPr>
          <w:rFonts w:ascii="Times New Roman" w:hAnsi="Times New Roman" w:cs="Times New Roman"/>
          <w:b/>
        </w:rPr>
      </w:pPr>
      <w:r w:rsidRPr="002C4FBA">
        <w:rPr>
          <w:rFonts w:ascii="Times New Roman" w:hAnsi="Times New Roman" w:cs="Times New Roman"/>
          <w:b/>
        </w:rPr>
        <w:t>Background</w:t>
      </w:r>
    </w:p>
    <w:p w14:paraId="13ECDD07" w14:textId="77777777" w:rsidR="00691373" w:rsidRDefault="00691373" w:rsidP="00691373">
      <w:pPr>
        <w:spacing w:after="0" w:line="240" w:lineRule="auto"/>
        <w:contextualSpacing/>
        <w:rPr>
          <w:rFonts w:ascii="Times New Roman" w:hAnsi="Times New Roman" w:cs="Times New Roman"/>
        </w:rPr>
      </w:pPr>
      <w:r w:rsidRPr="00F141F8">
        <w:rPr>
          <w:rFonts w:ascii="Times New Roman" w:hAnsi="Times New Roman" w:cs="Times New Roman"/>
        </w:rPr>
        <w:t xml:space="preserve">Working forests have long been </w:t>
      </w:r>
      <w:r>
        <w:rPr>
          <w:rFonts w:ascii="Times New Roman" w:hAnsi="Times New Roman" w:cs="Times New Roman"/>
        </w:rPr>
        <w:t>intensively managed for supply of timber commodity products,</w:t>
      </w:r>
      <w:r w:rsidRPr="00F141F8">
        <w:rPr>
          <w:rFonts w:ascii="Times New Roman" w:hAnsi="Times New Roman" w:cs="Times New Roman"/>
        </w:rPr>
        <w:t xml:space="preserve"> yet are increasingly recognized for the</w:t>
      </w:r>
      <w:r>
        <w:rPr>
          <w:rFonts w:ascii="Times New Roman" w:hAnsi="Times New Roman" w:cs="Times New Roman"/>
        </w:rPr>
        <w:t xml:space="preserve">ir role as terrestrial C stocks and potential in emerging markets. As such, advances in precision and site specific silviculture can aid in establishing links between treatment factors and responses that extend to land use strategy, planning, and policy. Forest development and </w:t>
      </w:r>
      <w:r w:rsidRPr="00254411">
        <w:rPr>
          <w:rFonts w:ascii="Times New Roman" w:hAnsi="Times New Roman" w:cs="Times New Roman"/>
        </w:rPr>
        <w:t xml:space="preserve">yield is constrained by inherent </w:t>
      </w:r>
      <w:r>
        <w:rPr>
          <w:rFonts w:ascii="Times New Roman" w:hAnsi="Times New Roman" w:cs="Times New Roman"/>
        </w:rPr>
        <w:t xml:space="preserve">soil productivity, nutrient cycling rates, </w:t>
      </w:r>
      <w:r w:rsidRPr="00B620D2">
        <w:rPr>
          <w:rFonts w:ascii="Times New Roman" w:hAnsi="Times New Roman" w:cs="Times New Roman"/>
        </w:rPr>
        <w:t xml:space="preserve">and local </w:t>
      </w:r>
      <w:r>
        <w:rPr>
          <w:rFonts w:ascii="Times New Roman" w:hAnsi="Times New Roman" w:cs="Times New Roman"/>
        </w:rPr>
        <w:t xml:space="preserve">hydrologic processes (Assman 1970, </w:t>
      </w:r>
      <w:r w:rsidRPr="00B620D2">
        <w:rPr>
          <w:rFonts w:ascii="Times New Roman" w:hAnsi="Times New Roman" w:cs="Times New Roman"/>
        </w:rPr>
        <w:t>Fisher and Binkley 2002</w:t>
      </w:r>
      <w:r>
        <w:rPr>
          <w:rFonts w:ascii="Times New Roman" w:hAnsi="Times New Roman" w:cs="Times New Roman"/>
        </w:rPr>
        <w:t xml:space="preserve">, </w:t>
      </w:r>
      <w:r w:rsidRPr="00AC26BE">
        <w:rPr>
          <w:rFonts w:ascii="Times New Roman" w:hAnsi="Times New Roman" w:cs="Times New Roman"/>
        </w:rPr>
        <w:t xml:space="preserve">Landsberg and Sands 2010). </w:t>
      </w:r>
      <w:r>
        <w:rPr>
          <w:rFonts w:ascii="Times New Roman" w:hAnsi="Times New Roman" w:cs="Times New Roman"/>
        </w:rPr>
        <w:t xml:space="preserve">In commercial plantations, nutrient additions through fertilization has been common practice to enhance productivity </w:t>
      </w:r>
      <w:r w:rsidRPr="00A226BE">
        <w:rPr>
          <w:rFonts w:ascii="Times New Roman" w:hAnsi="Times New Roman" w:cs="Times New Roman"/>
        </w:rPr>
        <w:t xml:space="preserve">(Clutter et al. 1983, Binkley 1986). </w:t>
      </w:r>
      <w:r>
        <w:rPr>
          <w:rFonts w:ascii="Times New Roman" w:hAnsi="Times New Roman" w:cs="Times New Roman"/>
        </w:rPr>
        <w:t>Nutrition</w:t>
      </w:r>
      <w:r w:rsidRPr="00A226BE">
        <w:rPr>
          <w:rFonts w:ascii="Times New Roman" w:hAnsi="Times New Roman" w:cs="Times New Roman"/>
        </w:rPr>
        <w:t xml:space="preserve"> </w:t>
      </w:r>
      <w:r>
        <w:rPr>
          <w:rFonts w:ascii="Times New Roman" w:hAnsi="Times New Roman" w:cs="Times New Roman"/>
        </w:rPr>
        <w:t xml:space="preserve">programs vary by region across North America due to differences in geologic history, soil formation processes and characteristics, as well as major forest cover types and silvics. </w:t>
      </w:r>
    </w:p>
    <w:p w14:paraId="00E82199" w14:textId="77777777" w:rsidR="00691373" w:rsidRDefault="00691373" w:rsidP="00691373">
      <w:pPr>
        <w:spacing w:after="0" w:line="240" w:lineRule="auto"/>
        <w:contextualSpacing/>
        <w:rPr>
          <w:rFonts w:ascii="Times New Roman" w:hAnsi="Times New Roman" w:cs="Times New Roman"/>
        </w:rPr>
      </w:pPr>
    </w:p>
    <w:p w14:paraId="645DAC11" w14:textId="77777777" w:rsidR="00691373" w:rsidRDefault="00691373" w:rsidP="00691373">
      <w:pPr>
        <w:spacing w:after="0" w:line="240" w:lineRule="auto"/>
        <w:contextualSpacing/>
        <w:rPr>
          <w:rFonts w:ascii="Times New Roman" w:hAnsi="Times New Roman" w:cs="Times New Roman"/>
        </w:rPr>
      </w:pPr>
      <w:r>
        <w:rPr>
          <w:rFonts w:ascii="Times New Roman" w:hAnsi="Times New Roman" w:cs="Times New Roman"/>
        </w:rPr>
        <w:t>In the Pacific Northwest, it is generally recognized that plant-available N is the primary limiting element to growth of Douglas-fir (</w:t>
      </w:r>
      <w:r w:rsidRPr="00E35095">
        <w:rPr>
          <w:rFonts w:ascii="Times New Roman" w:hAnsi="Times New Roman" w:cs="Times New Roman"/>
          <w:i/>
        </w:rPr>
        <w:t xml:space="preserve">Pseudotsuga </w:t>
      </w:r>
      <w:r w:rsidRPr="00582840">
        <w:rPr>
          <w:rFonts w:ascii="Times New Roman" w:hAnsi="Times New Roman" w:cs="Times New Roman"/>
          <w:i/>
        </w:rPr>
        <w:t>menziesii</w:t>
      </w:r>
      <w:r w:rsidRPr="00582840">
        <w:rPr>
          <w:rFonts w:ascii="Times New Roman" w:hAnsi="Times New Roman" w:cs="Times New Roman"/>
        </w:rPr>
        <w:t xml:space="preserve"> (Mirb.) Franco.), </w:t>
      </w:r>
      <w:r>
        <w:rPr>
          <w:rFonts w:ascii="Times New Roman" w:hAnsi="Times New Roman" w:cs="Times New Roman"/>
        </w:rPr>
        <w:t>while</w:t>
      </w:r>
      <w:r w:rsidRPr="00582840">
        <w:rPr>
          <w:rFonts w:ascii="Times New Roman" w:hAnsi="Times New Roman" w:cs="Times New Roman"/>
        </w:rPr>
        <w:t xml:space="preserve"> P+K </w:t>
      </w:r>
      <w:r>
        <w:rPr>
          <w:rFonts w:ascii="Times New Roman" w:hAnsi="Times New Roman" w:cs="Times New Roman"/>
        </w:rPr>
        <w:t>can be</w:t>
      </w:r>
      <w:r w:rsidRPr="00582840">
        <w:rPr>
          <w:rFonts w:ascii="Times New Roman" w:hAnsi="Times New Roman" w:cs="Times New Roman"/>
        </w:rPr>
        <w:t xml:space="preserve"> equally important in some conditions (Steinbrenner 1968). As </w:t>
      </w:r>
      <w:r>
        <w:rPr>
          <w:rFonts w:ascii="Times New Roman" w:hAnsi="Times New Roman" w:cs="Times New Roman"/>
        </w:rPr>
        <w:t>such, the majority of traditional nutrient management research in the region has primarily been limited to N applications, and e</w:t>
      </w:r>
      <w:r w:rsidRPr="006A78E1">
        <w:rPr>
          <w:rFonts w:ascii="Times New Roman" w:hAnsi="Times New Roman" w:cs="Times New Roman"/>
        </w:rPr>
        <w:t xml:space="preserve">arly work in </w:t>
      </w:r>
      <w:r>
        <w:rPr>
          <w:rFonts w:ascii="Times New Roman" w:hAnsi="Times New Roman" w:cs="Times New Roman"/>
        </w:rPr>
        <w:t>cooperative nutrition research</w:t>
      </w:r>
      <w:r w:rsidRPr="006A78E1">
        <w:rPr>
          <w:rFonts w:ascii="Times New Roman" w:hAnsi="Times New Roman" w:cs="Times New Roman"/>
        </w:rPr>
        <w:t xml:space="preserve"> assessed the </w:t>
      </w:r>
      <w:r>
        <w:rPr>
          <w:rFonts w:ascii="Times New Roman" w:hAnsi="Times New Roman" w:cs="Times New Roman"/>
        </w:rPr>
        <w:t>response of second growth forests to mid-</w:t>
      </w:r>
      <w:r w:rsidRPr="006A78E1">
        <w:rPr>
          <w:rFonts w:ascii="Times New Roman" w:hAnsi="Times New Roman" w:cs="Times New Roman"/>
        </w:rPr>
        <w:t xml:space="preserve">rotation (35-55 yr.) N applications and </w:t>
      </w:r>
      <w:r>
        <w:rPr>
          <w:rFonts w:ascii="Times New Roman" w:hAnsi="Times New Roman" w:cs="Times New Roman"/>
        </w:rPr>
        <w:t xml:space="preserve">reported a range in results across stand density and dosage levels </w:t>
      </w:r>
      <w:r w:rsidRPr="00582840">
        <w:rPr>
          <w:rFonts w:ascii="Times New Roman" w:hAnsi="Times New Roman" w:cs="Times New Roman"/>
        </w:rPr>
        <w:t xml:space="preserve">(Miller et al. 1979, Strand and DeBell </w:t>
      </w:r>
      <w:r>
        <w:rPr>
          <w:rFonts w:ascii="Times New Roman" w:hAnsi="Times New Roman" w:cs="Times New Roman"/>
        </w:rPr>
        <w:t xml:space="preserve">1979, Li et al. 2005). Growth response to N fertilization ranged from 0-12% and 20-35% in un-thinned and thinned stands, respectively, yet conclusive findings are confounded by comparisons across contrasting sites and insufficient power to detect treatment differences (Farnum 1979; Li et al. 2005). Recent efforts to prioritize fertilization programs by physiographic sub regions of the PNW have identified edaphic factors that are highly correlated with fertilizer response, including parent material and topographic features (Littke et al. 2014), and can greatly aid in management efforts in regional plantations. Yet, this work further highlights the importance of pre-treatment stand condition in the magnitude of response, which may be further attributed to causal mechanisms between nutrient uptake and utilization in physiological processes across the leaf, tree, and stand scales. </w:t>
      </w:r>
    </w:p>
    <w:p w14:paraId="789EFEEF" w14:textId="77777777" w:rsidR="00691373" w:rsidRDefault="00691373" w:rsidP="00691373">
      <w:pPr>
        <w:spacing w:after="0" w:line="240" w:lineRule="auto"/>
        <w:contextualSpacing/>
        <w:rPr>
          <w:rFonts w:ascii="Times New Roman" w:hAnsi="Times New Roman" w:cs="Times New Roman"/>
        </w:rPr>
      </w:pPr>
    </w:p>
    <w:p w14:paraId="06A71EAC" w14:textId="77777777" w:rsidR="00691373" w:rsidRDefault="00691373" w:rsidP="00691373">
      <w:pPr>
        <w:spacing w:after="0" w:line="240" w:lineRule="auto"/>
        <w:contextualSpacing/>
        <w:rPr>
          <w:rFonts w:ascii="Times New Roman" w:hAnsi="Times New Roman" w:cs="Times New Roman"/>
        </w:rPr>
      </w:pPr>
      <w:r>
        <w:rPr>
          <w:rFonts w:ascii="Times New Roman" w:hAnsi="Times New Roman" w:cs="Times New Roman"/>
        </w:rPr>
        <w:t>In general, greater stand density indirectly shifts leaf N utilization from CO</w:t>
      </w:r>
      <w:r w:rsidRPr="008A53A9">
        <w:rPr>
          <w:rFonts w:ascii="Times New Roman" w:hAnsi="Times New Roman" w:cs="Times New Roman"/>
          <w:vertAlign w:val="subscript"/>
        </w:rPr>
        <w:t>2</w:t>
      </w:r>
      <w:r>
        <w:rPr>
          <w:rFonts w:ascii="Times New Roman" w:hAnsi="Times New Roman" w:cs="Times New Roman"/>
        </w:rPr>
        <w:t xml:space="preserve"> fixation (C</w:t>
      </w:r>
      <w:r w:rsidRPr="006C1A43">
        <w:rPr>
          <w:rFonts w:ascii="Times New Roman" w:hAnsi="Times New Roman" w:cs="Times New Roman"/>
          <w:i/>
          <w:vertAlign w:val="subscript"/>
        </w:rPr>
        <w:t>f</w:t>
      </w:r>
      <w:r>
        <w:rPr>
          <w:rFonts w:ascii="Times New Roman" w:hAnsi="Times New Roman" w:cs="Times New Roman"/>
        </w:rPr>
        <w:t xml:space="preserve">) </w:t>
      </w:r>
      <w:r w:rsidRPr="00757C63">
        <w:rPr>
          <w:rFonts w:ascii="Times New Roman" w:hAnsi="Times New Roman" w:cs="Times New Roman"/>
        </w:rPr>
        <w:t xml:space="preserve">to </w:t>
      </w:r>
      <w:r>
        <w:rPr>
          <w:rFonts w:ascii="Times New Roman" w:hAnsi="Times New Roman" w:cs="Times New Roman"/>
        </w:rPr>
        <w:t xml:space="preserve">light absorption (chlorophyll synthesis- </w:t>
      </w:r>
      <w:r w:rsidRPr="00061F4D">
        <w:rPr>
          <w:rFonts w:ascii="Times New Roman" w:hAnsi="Times New Roman" w:cs="Times New Roman"/>
          <w:i/>
        </w:rPr>
        <w:t>chl</w:t>
      </w:r>
      <w:r w:rsidRPr="00757C63">
        <w:rPr>
          <w:rFonts w:ascii="Times New Roman" w:hAnsi="Times New Roman" w:cs="Times New Roman"/>
        </w:rPr>
        <w:t xml:space="preserve">) through shading effects </w:t>
      </w:r>
      <w:r>
        <w:rPr>
          <w:rFonts w:ascii="Times New Roman" w:hAnsi="Times New Roman" w:cs="Times New Roman"/>
        </w:rPr>
        <w:t xml:space="preserve">and reductions in photosynthetically active radiation (PAR) </w:t>
      </w:r>
      <w:r w:rsidRPr="00757C63">
        <w:rPr>
          <w:rFonts w:ascii="Times New Roman" w:hAnsi="Times New Roman" w:cs="Times New Roman"/>
        </w:rPr>
        <w:t xml:space="preserve">(Hinckley et al. 1979, Brix 1983, Ripullone et al. 2004). Although </w:t>
      </w:r>
      <w:r>
        <w:rPr>
          <w:rFonts w:ascii="Times New Roman" w:hAnsi="Times New Roman" w:cs="Times New Roman"/>
        </w:rPr>
        <w:t>N amendments at canopy closure can increase photosynthetic capacity through gains in water use efficiency (photosynthesis [</w:t>
      </w:r>
      <w:r w:rsidRPr="00E0221E">
        <w:rPr>
          <w:rFonts w:ascii="Times New Roman" w:hAnsi="Times New Roman" w:cs="Times New Roman"/>
          <w:i/>
        </w:rPr>
        <w:t>A</w:t>
      </w:r>
      <w:r>
        <w:rPr>
          <w:rFonts w:ascii="Times New Roman" w:hAnsi="Times New Roman" w:cs="Times New Roman"/>
        </w:rPr>
        <w:t>]/ stomatal conductance [g</w:t>
      </w:r>
      <w:r w:rsidRPr="00E0221E">
        <w:rPr>
          <w:rFonts w:ascii="Times New Roman" w:hAnsi="Times New Roman" w:cs="Times New Roman"/>
          <w:i/>
          <w:vertAlign w:val="subscript"/>
        </w:rPr>
        <w:t>s</w:t>
      </w:r>
      <w:r>
        <w:rPr>
          <w:rFonts w:ascii="Times New Roman" w:hAnsi="Times New Roman" w:cs="Times New Roman"/>
        </w:rPr>
        <w:t xml:space="preserve">]), the degree of response is limited by intensified light competition (and greater </w:t>
      </w:r>
      <w:proofErr w:type="gramStart"/>
      <w:r w:rsidRPr="006C1A43">
        <w:rPr>
          <w:rFonts w:ascii="Times New Roman" w:hAnsi="Times New Roman" w:cs="Times New Roman"/>
          <w:i/>
        </w:rPr>
        <w:t>chl</w:t>
      </w:r>
      <w:r>
        <w:rPr>
          <w:rFonts w:ascii="Times New Roman" w:hAnsi="Times New Roman" w:cs="Times New Roman"/>
        </w:rPr>
        <w:t>:</w:t>
      </w:r>
      <w:r>
        <w:rPr>
          <w:rFonts w:ascii="Times New Roman" w:hAnsi="Times New Roman" w:cs="Times New Roman"/>
          <w:i/>
        </w:rPr>
        <w:t>C</w:t>
      </w:r>
      <w:r w:rsidRPr="006C1A43">
        <w:rPr>
          <w:rFonts w:ascii="Times New Roman" w:hAnsi="Times New Roman" w:cs="Times New Roman"/>
          <w:i/>
          <w:vertAlign w:val="subscript"/>
        </w:rPr>
        <w:t>f</w:t>
      </w:r>
      <w:proofErr w:type="gramEnd"/>
      <w:r>
        <w:rPr>
          <w:rFonts w:ascii="Times New Roman" w:hAnsi="Times New Roman" w:cs="Times New Roman"/>
        </w:rPr>
        <w:t xml:space="preserve">), and foliar deficiency of the stand compared with the site maximum at canopy </w:t>
      </w:r>
      <w:r w:rsidRPr="000D3622">
        <w:rPr>
          <w:rFonts w:ascii="Times New Roman" w:hAnsi="Times New Roman" w:cs="Times New Roman"/>
        </w:rPr>
        <w:t>closure (Brix 1983</w:t>
      </w:r>
      <w:r w:rsidRPr="003478FE">
        <w:rPr>
          <w:rFonts w:ascii="Times New Roman" w:hAnsi="Times New Roman" w:cs="Times New Roman"/>
        </w:rPr>
        <w:t xml:space="preserve">, Running and Coughlan </w:t>
      </w:r>
      <w:r w:rsidRPr="007031AB">
        <w:rPr>
          <w:rFonts w:ascii="Times New Roman" w:hAnsi="Times New Roman" w:cs="Times New Roman"/>
        </w:rPr>
        <w:t>1988; Gholz et al. 1990)</w:t>
      </w:r>
      <w:r>
        <w:rPr>
          <w:rFonts w:ascii="Times New Roman" w:hAnsi="Times New Roman" w:cs="Times New Roman"/>
        </w:rPr>
        <w:t>. In contrast, N applications in stands of low density (either early in development or after thinning) have been observed to result in a dynamic response of increased photosynthetic rate in the short-term (2-3 years) shifting to gains in leaf area, stem growth, and long-term stand yields (</w:t>
      </w:r>
      <w:r w:rsidRPr="00582840">
        <w:rPr>
          <w:rFonts w:ascii="Times New Roman" w:hAnsi="Times New Roman" w:cs="Times New Roman"/>
        </w:rPr>
        <w:t xml:space="preserve">Strand and DeBell </w:t>
      </w:r>
      <w:r>
        <w:rPr>
          <w:rFonts w:ascii="Times New Roman" w:hAnsi="Times New Roman" w:cs="Times New Roman"/>
        </w:rPr>
        <w:t xml:space="preserve">1979, Brix 1983, Brooks and Mitchell 2011; Cornejo-Oviedo et al. 2017). Therefore, auxiliary data provided by measurements of physiologic processes can aid in interpreting tree and stand response to intermediate treatments, and further provide a framework for spatiotemporal prioritization of management practices. </w:t>
      </w:r>
    </w:p>
    <w:p w14:paraId="54506C19" w14:textId="77777777" w:rsidR="00691373" w:rsidRDefault="00691373" w:rsidP="00691373">
      <w:pPr>
        <w:spacing w:after="0" w:line="240" w:lineRule="auto"/>
        <w:contextualSpacing/>
        <w:rPr>
          <w:rFonts w:ascii="Times New Roman" w:hAnsi="Times New Roman" w:cs="Times New Roman"/>
        </w:rPr>
      </w:pPr>
    </w:p>
    <w:p w14:paraId="2C4FDD17" w14:textId="77777777" w:rsidR="00691373" w:rsidRDefault="00691373" w:rsidP="00691373">
      <w:pPr>
        <w:spacing w:after="0" w:line="240" w:lineRule="auto"/>
        <w:contextualSpacing/>
        <w:rPr>
          <w:rFonts w:ascii="Times New Roman" w:hAnsi="Times New Roman" w:cs="Times New Roman"/>
        </w:rPr>
      </w:pPr>
      <w:r>
        <w:rPr>
          <w:rFonts w:ascii="Times New Roman" w:hAnsi="Times New Roman" w:cs="Times New Roman"/>
        </w:rPr>
        <w:t>As mentioned, there has been noteworthy progress in identifying edaphic factors correlated to tree and stand response to fertilization across the PNW, and ongoing work by the Stand Management Cooperative (SMC) at the University of Washington (UW) continues to expand upon a robust regional plot network. We propose to leverage subsets of the existing plot network and utilize retrospective dendrochronological techniques to assess physiologic patterns of tree and stand response to past nutrition amendments. The objectives of this work are to (</w:t>
      </w:r>
      <w:r w:rsidRPr="003865B6">
        <w:rPr>
          <w:rFonts w:ascii="Times New Roman" w:hAnsi="Times New Roman" w:cs="Times New Roman"/>
          <w:i/>
        </w:rPr>
        <w:t>i</w:t>
      </w:r>
      <w:r>
        <w:rPr>
          <w:rFonts w:ascii="Times New Roman" w:hAnsi="Times New Roman" w:cs="Times New Roman"/>
        </w:rPr>
        <w:t>) utilizing tree and stand physiologic measurements in conjunction with edaphic variables to advance regional site-specific precision silviculture, and (</w:t>
      </w:r>
      <w:r w:rsidRPr="003865B6">
        <w:rPr>
          <w:rFonts w:ascii="Times New Roman" w:hAnsi="Times New Roman" w:cs="Times New Roman"/>
          <w:i/>
        </w:rPr>
        <w:t>ii</w:t>
      </w:r>
      <w:r>
        <w:rPr>
          <w:rFonts w:ascii="Times New Roman" w:hAnsi="Times New Roman" w:cs="Times New Roman"/>
        </w:rPr>
        <w:t xml:space="preserve">) provide baseline ecophysiological reference data for forest management planning in unknown future growing conditions. </w:t>
      </w:r>
    </w:p>
    <w:p w14:paraId="0EE18550" w14:textId="77777777" w:rsidR="00691373" w:rsidRDefault="00691373" w:rsidP="00691373">
      <w:pPr>
        <w:spacing w:after="0" w:line="240" w:lineRule="auto"/>
        <w:rPr>
          <w:rFonts w:ascii="Times New Roman" w:hAnsi="Times New Roman" w:cs="Times New Roman"/>
          <w:b/>
        </w:rPr>
      </w:pPr>
      <w:r>
        <w:rPr>
          <w:rFonts w:ascii="Times New Roman" w:hAnsi="Times New Roman" w:cs="Times New Roman"/>
          <w:b/>
        </w:rPr>
        <w:lastRenderedPageBreak/>
        <w:t>Methods</w:t>
      </w:r>
    </w:p>
    <w:p w14:paraId="7CC40C40" w14:textId="77777777" w:rsidR="00691373" w:rsidRDefault="00691373" w:rsidP="00691373">
      <w:pPr>
        <w:spacing w:after="0" w:line="240" w:lineRule="auto"/>
        <w:rPr>
          <w:rFonts w:ascii="Times New Roman" w:hAnsi="Times New Roman" w:cs="Times New Roman"/>
        </w:rPr>
      </w:pPr>
      <w:r>
        <w:rPr>
          <w:rFonts w:ascii="Times New Roman" w:hAnsi="Times New Roman" w:cs="Times New Roman"/>
        </w:rPr>
        <w:t>This study will utilize fertilized and control plots in the SMC Type I</w:t>
      </w:r>
      <w:r w:rsidR="00CA5E7D">
        <w:rPr>
          <w:rFonts w:ascii="Times New Roman" w:hAnsi="Times New Roman" w:cs="Times New Roman"/>
        </w:rPr>
        <w:t xml:space="preserve"> </w:t>
      </w:r>
      <w:r>
        <w:rPr>
          <w:rFonts w:ascii="Times New Roman" w:hAnsi="Times New Roman" w:cs="Times New Roman"/>
        </w:rPr>
        <w:t xml:space="preserve">and V projects for a total of </w:t>
      </w:r>
      <w:r w:rsidR="00CA5E7D">
        <w:rPr>
          <w:rFonts w:ascii="Times New Roman" w:hAnsi="Times New Roman" w:cs="Times New Roman"/>
        </w:rPr>
        <w:t xml:space="preserve">48 </w:t>
      </w:r>
      <w:r>
        <w:rPr>
          <w:rFonts w:ascii="Times New Roman" w:hAnsi="Times New Roman" w:cs="Times New Roman"/>
        </w:rPr>
        <w:t>plots across Oregon and Washington, USA and British Col</w:t>
      </w:r>
      <w:r w:rsidR="00CA5E7D">
        <w:rPr>
          <w:rFonts w:ascii="Times New Roman" w:hAnsi="Times New Roman" w:cs="Times New Roman"/>
        </w:rPr>
        <w:t>u</w:t>
      </w:r>
      <w:r>
        <w:rPr>
          <w:rFonts w:ascii="Times New Roman" w:hAnsi="Times New Roman" w:cs="Times New Roman"/>
        </w:rPr>
        <w:t xml:space="preserve">mbia, CDN. These sites expand across major physiographic sub regions characteristic of the PNW, and while each has been designed with their own sampling system and objectives, they provide a long-term record of fertilization response across a range of plantation ages, and site and stand conditions. The SMC Type I plot network was established between 1986-1994 in juvenile </w:t>
      </w:r>
      <w:r w:rsidRPr="00314570">
        <w:rPr>
          <w:rFonts w:ascii="Times New Roman" w:hAnsi="Times New Roman" w:cs="Times New Roman"/>
          <w:i/>
        </w:rPr>
        <w:t>Psueotsuga menziesii</w:t>
      </w:r>
      <w:r>
        <w:rPr>
          <w:rFonts w:ascii="Times New Roman" w:hAnsi="Times New Roman" w:cs="Times New Roman"/>
        </w:rPr>
        <w:t xml:space="preserve"> stands using a response by unit area (stand-level) approach, and provide long-term records of growth response, however lack detailed edaphic data at the time of treatment. In contrast, the SMV type V uses a paired-tree </w:t>
      </w:r>
      <w:r w:rsidR="00CA5E7D">
        <w:rPr>
          <w:rFonts w:ascii="Times New Roman" w:hAnsi="Times New Roman" w:cs="Times New Roman"/>
        </w:rPr>
        <w:t>approach,</w:t>
      </w:r>
      <w:r>
        <w:rPr>
          <w:rFonts w:ascii="Times New Roman" w:hAnsi="Times New Roman" w:cs="Times New Roman"/>
        </w:rPr>
        <w:t xml:space="preserve"> with extensive soil chemistry, micrometeorological, and foliar nutrient data collected prior to and following treatment. </w:t>
      </w:r>
    </w:p>
    <w:p w14:paraId="0816EA51" w14:textId="77777777" w:rsidR="00691373" w:rsidRDefault="00691373" w:rsidP="00691373">
      <w:pPr>
        <w:spacing w:after="0" w:line="240" w:lineRule="auto"/>
        <w:rPr>
          <w:rFonts w:ascii="Times New Roman" w:hAnsi="Times New Roman" w:cs="Times New Roman"/>
        </w:rPr>
      </w:pPr>
    </w:p>
    <w:p w14:paraId="7227CAAA" w14:textId="77777777" w:rsidR="00691373" w:rsidRPr="001532BA" w:rsidRDefault="00691373" w:rsidP="00691373">
      <w:pPr>
        <w:spacing w:after="0" w:line="240" w:lineRule="auto"/>
        <w:rPr>
          <w:rFonts w:ascii="Times New Roman" w:hAnsi="Times New Roman" w:cs="Times New Roman"/>
          <w:u w:val="words"/>
        </w:rPr>
      </w:pPr>
      <w:r>
        <w:rPr>
          <w:rFonts w:ascii="Times New Roman" w:hAnsi="Times New Roman" w:cs="Times New Roman"/>
        </w:rPr>
        <w:t xml:space="preserve">In a subset of pre-determined plots (SMC I – </w:t>
      </w:r>
      <w:r w:rsidR="00CA5E7D">
        <w:rPr>
          <w:rFonts w:ascii="Times New Roman" w:hAnsi="Times New Roman" w:cs="Times New Roman"/>
        </w:rPr>
        <w:t>18</w:t>
      </w:r>
      <w:r>
        <w:rPr>
          <w:rFonts w:ascii="Times New Roman" w:hAnsi="Times New Roman" w:cs="Times New Roman"/>
        </w:rPr>
        <w:t xml:space="preserve">; SMC IV – </w:t>
      </w:r>
      <w:r w:rsidR="00CA5E7D">
        <w:rPr>
          <w:rFonts w:ascii="Times New Roman" w:hAnsi="Times New Roman" w:cs="Times New Roman"/>
        </w:rPr>
        <w:t xml:space="preserve">30) </w:t>
      </w:r>
      <w:r>
        <w:rPr>
          <w:rFonts w:ascii="Times New Roman" w:hAnsi="Times New Roman" w:cs="Times New Roman"/>
        </w:rPr>
        <w:t xml:space="preserve">a total of 10 trees will be selected from each quintile (2 per quintile – </w:t>
      </w:r>
      <w:r w:rsidR="00CA5E7D">
        <w:rPr>
          <w:rFonts w:ascii="Times New Roman" w:hAnsi="Times New Roman" w:cs="Times New Roman"/>
        </w:rPr>
        <w:t>480</w:t>
      </w:r>
      <w:r>
        <w:rPr>
          <w:rFonts w:ascii="Times New Roman" w:hAnsi="Times New Roman" w:cs="Times New Roman"/>
        </w:rPr>
        <w:t xml:space="preserve"> trees total) of the diameter distribution for collection of increment cores. Cores will be taken perpendicularly and at breast height (1.3m) and processed for cross-dating at the UW. Stem rings ± 7 years of fertilization date will be measured and separated by early/latewood for measurement of δ</w:t>
      </w:r>
      <w:r w:rsidRPr="002347C2">
        <w:rPr>
          <w:rFonts w:ascii="Times New Roman" w:hAnsi="Times New Roman" w:cs="Times New Roman"/>
          <w:vertAlign w:val="superscript"/>
        </w:rPr>
        <w:t>13</w:t>
      </w:r>
      <w:r>
        <w:rPr>
          <w:rFonts w:ascii="Times New Roman" w:hAnsi="Times New Roman" w:cs="Times New Roman"/>
        </w:rPr>
        <w:t>C</w:t>
      </w:r>
      <w:r w:rsidRPr="002347C2">
        <w:rPr>
          <w:rFonts w:ascii="Times New Roman" w:hAnsi="Times New Roman" w:cs="Times New Roman"/>
          <w:vertAlign w:val="superscript"/>
        </w:rPr>
        <w:t xml:space="preserve"> </w:t>
      </w:r>
      <w:r>
        <w:rPr>
          <w:rFonts w:ascii="Times New Roman" w:hAnsi="Times New Roman" w:cs="Times New Roman"/>
        </w:rPr>
        <w:t>and δ</w:t>
      </w:r>
      <w:r w:rsidRPr="002347C2">
        <w:rPr>
          <w:rFonts w:ascii="Times New Roman" w:hAnsi="Times New Roman" w:cs="Times New Roman"/>
          <w:vertAlign w:val="superscript"/>
        </w:rPr>
        <w:t>18</w:t>
      </w:r>
      <w:r>
        <w:rPr>
          <w:rFonts w:ascii="Times New Roman" w:hAnsi="Times New Roman" w:cs="Times New Roman"/>
        </w:rPr>
        <w:t xml:space="preserve">O (at the UW IsoLab) to determine the relative impact of N addition to </w:t>
      </w:r>
      <w:r w:rsidRPr="00982E04">
        <w:rPr>
          <w:rFonts w:ascii="Times New Roman" w:hAnsi="Times New Roman" w:cs="Times New Roman"/>
          <w:i/>
        </w:rPr>
        <w:t>A</w:t>
      </w:r>
      <w:r>
        <w:rPr>
          <w:rFonts w:ascii="Times New Roman" w:hAnsi="Times New Roman" w:cs="Times New Roman"/>
        </w:rPr>
        <w:t>/</w:t>
      </w:r>
      <w:r w:rsidRPr="00982E04">
        <w:rPr>
          <w:rFonts w:ascii="Times New Roman" w:hAnsi="Times New Roman" w:cs="Times New Roman"/>
          <w:i/>
        </w:rPr>
        <w:t>g</w:t>
      </w:r>
      <w:r w:rsidRPr="00982E04">
        <w:rPr>
          <w:rFonts w:ascii="Times New Roman" w:hAnsi="Times New Roman" w:cs="Times New Roman"/>
          <w:i/>
          <w:vertAlign w:val="subscript"/>
        </w:rPr>
        <w:t>s</w:t>
      </w:r>
      <w:r>
        <w:rPr>
          <w:rFonts w:ascii="Times New Roman" w:hAnsi="Times New Roman" w:cs="Times New Roman"/>
        </w:rPr>
        <w:t xml:space="preserve"> patterns, and explore these variables across ranges in site and stand conditions. These methods have been effectively utilized to assess physiologic response and intrinsic water use efficiency (</w:t>
      </w:r>
      <w:r w:rsidRPr="00982E04">
        <w:rPr>
          <w:rFonts w:ascii="Times New Roman" w:hAnsi="Times New Roman" w:cs="Times New Roman"/>
          <w:i/>
        </w:rPr>
        <w:t>wue</w:t>
      </w:r>
      <w:r w:rsidRPr="00982E04">
        <w:rPr>
          <w:rFonts w:ascii="Times New Roman" w:hAnsi="Times New Roman" w:cs="Times New Roman"/>
          <w:i/>
          <w:vertAlign w:val="subscript"/>
        </w:rPr>
        <w:t>i</w:t>
      </w:r>
      <w:r>
        <w:rPr>
          <w:rFonts w:ascii="Times New Roman" w:hAnsi="Times New Roman" w:cs="Times New Roman"/>
        </w:rPr>
        <w:t>) in conifer thinning studies (Warren et al. 2001, Powers et al. 2010) and fertilization treatments of Douglas-fir (Brooks and Mitchell 2011, Oviedo et al. 2017) in single site experimental units. Tree-ring derived growth rates and isotopic composition (i.e. Δδ</w:t>
      </w:r>
      <w:r w:rsidRPr="00CC28D9">
        <w:rPr>
          <w:rFonts w:ascii="Times New Roman" w:hAnsi="Times New Roman" w:cs="Times New Roman"/>
          <w:vertAlign w:val="superscript"/>
        </w:rPr>
        <w:t>13</w:t>
      </w:r>
      <w:r>
        <w:rPr>
          <w:rFonts w:ascii="Times New Roman" w:hAnsi="Times New Roman" w:cs="Times New Roman"/>
        </w:rPr>
        <w:t xml:space="preserve">C) will be used in conjunction with micrometeorological data to assess the relative contribution of edaphic and stand conditions on physiological utilization of N. We anticipate using a variety of statistical methods for analysis and predicting response by site and stand conditions with linear and non-linear mixed models using the </w:t>
      </w:r>
      <w:r w:rsidRPr="00AE11EB">
        <w:rPr>
          <w:rFonts w:ascii="Times New Roman" w:hAnsi="Times New Roman" w:cs="Times New Roman"/>
          <w:i/>
        </w:rPr>
        <w:t>glmm</w:t>
      </w:r>
      <w:r>
        <w:rPr>
          <w:rFonts w:ascii="Times New Roman" w:hAnsi="Times New Roman" w:cs="Times New Roman"/>
        </w:rPr>
        <w:t xml:space="preserve"> (Knudson 2018) and </w:t>
      </w:r>
      <w:r w:rsidRPr="00AE11EB">
        <w:rPr>
          <w:rFonts w:ascii="Times New Roman" w:hAnsi="Times New Roman" w:cs="Times New Roman"/>
          <w:i/>
        </w:rPr>
        <w:t>nlme</w:t>
      </w:r>
      <w:r>
        <w:rPr>
          <w:rFonts w:ascii="Times New Roman" w:hAnsi="Times New Roman" w:cs="Times New Roman"/>
        </w:rPr>
        <w:t xml:space="preserve"> (Pinheiro and Bates 2018) packages in R statistical programming environment. </w:t>
      </w:r>
    </w:p>
    <w:p w14:paraId="7B96C029" w14:textId="77777777" w:rsidR="00691373" w:rsidRDefault="00691373" w:rsidP="00691373">
      <w:pPr>
        <w:spacing w:after="0" w:line="240" w:lineRule="auto"/>
        <w:rPr>
          <w:rFonts w:ascii="Times New Roman" w:hAnsi="Times New Roman" w:cs="Times New Roman"/>
        </w:rPr>
      </w:pPr>
    </w:p>
    <w:p w14:paraId="6156CE04" w14:textId="77777777" w:rsidR="00691373" w:rsidRPr="002C4FBA" w:rsidRDefault="00691373" w:rsidP="00691373">
      <w:pPr>
        <w:spacing w:after="0" w:line="240" w:lineRule="auto"/>
        <w:contextualSpacing/>
        <w:rPr>
          <w:rFonts w:ascii="Times New Roman" w:hAnsi="Times New Roman" w:cs="Times New Roman"/>
        </w:rPr>
      </w:pPr>
      <w:r w:rsidRPr="002C4FBA">
        <w:rPr>
          <w:rFonts w:ascii="Times New Roman" w:hAnsi="Times New Roman" w:cs="Times New Roman"/>
          <w:b/>
        </w:rPr>
        <w:t>Products</w:t>
      </w:r>
      <w:r w:rsidRPr="002C4FBA">
        <w:rPr>
          <w:rFonts w:ascii="Times New Roman" w:hAnsi="Times New Roman" w:cs="Times New Roman"/>
        </w:rPr>
        <w:t>:  Project deliverables will include 1) synthesizing the quantification and assessment of observed corre</w:t>
      </w:r>
      <w:r>
        <w:rPr>
          <w:rFonts w:ascii="Times New Roman" w:hAnsi="Times New Roman" w:cs="Times New Roman"/>
        </w:rPr>
        <w:t xml:space="preserve">lations between stand structure, </w:t>
      </w:r>
      <w:r w:rsidRPr="002C4FBA">
        <w:rPr>
          <w:rFonts w:ascii="Times New Roman" w:hAnsi="Times New Roman" w:cs="Times New Roman"/>
        </w:rPr>
        <w:t xml:space="preserve">edaphic variables and </w:t>
      </w:r>
      <w:r>
        <w:rPr>
          <w:rFonts w:ascii="Times New Roman" w:hAnsi="Times New Roman" w:cs="Times New Roman"/>
        </w:rPr>
        <w:t xml:space="preserve">N fertilization physiologic response into regional </w:t>
      </w:r>
      <w:r w:rsidRPr="002C4FBA">
        <w:rPr>
          <w:rFonts w:ascii="Times New Roman" w:hAnsi="Times New Roman" w:cs="Times New Roman"/>
        </w:rPr>
        <w:t xml:space="preserve">silvicultural recommendations for </w:t>
      </w:r>
      <w:r>
        <w:rPr>
          <w:rFonts w:ascii="Times New Roman" w:hAnsi="Times New Roman" w:cs="Times New Roman"/>
        </w:rPr>
        <w:t>Douglas-fir plantations</w:t>
      </w:r>
      <w:r w:rsidRPr="002C4FBA">
        <w:rPr>
          <w:rFonts w:ascii="Times New Roman" w:hAnsi="Times New Roman" w:cs="Times New Roman"/>
        </w:rPr>
        <w:t xml:space="preserve">; 2) A report that uses the Northern Institute of Applied Climate Science adaptive silviculture and Climate Change Response frameworks </w:t>
      </w:r>
      <w:r>
        <w:rPr>
          <w:rFonts w:ascii="Times New Roman" w:hAnsi="Times New Roman" w:cs="Times New Roman"/>
        </w:rPr>
        <w:t xml:space="preserve">for alternative treatment simulations under variations in future climate; and 3) </w:t>
      </w:r>
      <w:r w:rsidRPr="002C4FBA">
        <w:rPr>
          <w:rFonts w:ascii="Times New Roman" w:hAnsi="Times New Roman" w:cs="Times New Roman"/>
        </w:rPr>
        <w:t xml:space="preserve">Three publications submitted to high-impact peer reviewed journals that reflect each project objective.  </w:t>
      </w:r>
    </w:p>
    <w:p w14:paraId="5A2A69A9" w14:textId="77777777" w:rsidR="00691373" w:rsidRPr="002C4FBA" w:rsidRDefault="00691373" w:rsidP="00691373">
      <w:pPr>
        <w:spacing w:after="0" w:line="240" w:lineRule="auto"/>
        <w:contextualSpacing/>
        <w:rPr>
          <w:rFonts w:ascii="Times New Roman" w:hAnsi="Times New Roman" w:cs="Times New Roman"/>
        </w:rPr>
      </w:pPr>
    </w:p>
    <w:p w14:paraId="28245C0D" w14:textId="77777777" w:rsidR="00691373" w:rsidRDefault="00691373" w:rsidP="00691373">
      <w:pPr>
        <w:tabs>
          <w:tab w:val="left" w:pos="360"/>
        </w:tabs>
        <w:spacing w:after="0" w:line="240" w:lineRule="auto"/>
        <w:contextualSpacing/>
        <w:outlineLvl w:val="0"/>
        <w:rPr>
          <w:rFonts w:ascii="Times New Roman" w:eastAsia="Times New Roman" w:hAnsi="Times New Roman" w:cs="Times New Roman"/>
        </w:rPr>
      </w:pPr>
      <w:r w:rsidRPr="002C4FBA">
        <w:rPr>
          <w:rFonts w:ascii="Times New Roman" w:eastAsia="Times New Roman" w:hAnsi="Times New Roman" w:cs="Times New Roman"/>
          <w:b/>
        </w:rPr>
        <w:t xml:space="preserve">Schedule of Activities: </w:t>
      </w:r>
      <w:r w:rsidRPr="002C4FBA">
        <w:rPr>
          <w:rFonts w:ascii="Times New Roman" w:eastAsia="Times New Roman" w:hAnsi="Times New Roman" w:cs="Times New Roman"/>
        </w:rPr>
        <w:t xml:space="preserve">The proposed project is expected to last for </w:t>
      </w:r>
      <w:r w:rsidR="00CA5E7D">
        <w:rPr>
          <w:rFonts w:ascii="Times New Roman" w:eastAsia="Times New Roman" w:hAnsi="Times New Roman" w:cs="Times New Roman"/>
        </w:rPr>
        <w:t>two</w:t>
      </w:r>
      <w:r w:rsidRPr="002C4FBA">
        <w:rPr>
          <w:rFonts w:ascii="Times New Roman" w:eastAsia="Times New Roman" w:hAnsi="Times New Roman" w:cs="Times New Roman"/>
        </w:rPr>
        <w:t xml:space="preserve"> years commencing in </w:t>
      </w:r>
      <w:r>
        <w:rPr>
          <w:rFonts w:ascii="Times New Roman" w:eastAsia="Times New Roman" w:hAnsi="Times New Roman" w:cs="Times New Roman"/>
        </w:rPr>
        <w:t>September</w:t>
      </w:r>
      <w:r w:rsidRPr="002C4FBA">
        <w:rPr>
          <w:rFonts w:ascii="Times New Roman" w:eastAsia="Times New Roman" w:hAnsi="Times New Roman" w:cs="Times New Roman"/>
        </w:rPr>
        <w:t xml:space="preserve"> 201</w:t>
      </w:r>
      <w:r>
        <w:rPr>
          <w:rFonts w:ascii="Times New Roman" w:eastAsia="Times New Roman" w:hAnsi="Times New Roman" w:cs="Times New Roman"/>
        </w:rPr>
        <w:t>9</w:t>
      </w:r>
      <w:r w:rsidRPr="002C4FBA">
        <w:rPr>
          <w:rFonts w:ascii="Times New Roman" w:eastAsia="Times New Roman" w:hAnsi="Times New Roman" w:cs="Times New Roman"/>
        </w:rPr>
        <w:t xml:space="preserve"> and ending in </w:t>
      </w:r>
      <w:r>
        <w:rPr>
          <w:rFonts w:ascii="Times New Roman" w:eastAsia="Times New Roman" w:hAnsi="Times New Roman" w:cs="Times New Roman"/>
        </w:rPr>
        <w:t>December</w:t>
      </w:r>
      <w:r w:rsidRPr="002C4FBA">
        <w:rPr>
          <w:rFonts w:ascii="Times New Roman" w:eastAsia="Times New Roman" w:hAnsi="Times New Roman" w:cs="Times New Roman"/>
        </w:rPr>
        <w:t xml:space="preserve"> </w:t>
      </w:r>
      <w:r>
        <w:rPr>
          <w:rFonts w:ascii="Times New Roman" w:eastAsia="Times New Roman" w:hAnsi="Times New Roman" w:cs="Times New Roman"/>
        </w:rPr>
        <w:t>202</w:t>
      </w:r>
      <w:r w:rsidR="00CA5E7D">
        <w:rPr>
          <w:rFonts w:ascii="Times New Roman" w:eastAsia="Times New Roman" w:hAnsi="Times New Roman" w:cs="Times New Roman"/>
        </w:rPr>
        <w:t>1</w:t>
      </w:r>
      <w:r w:rsidRPr="002C4FBA">
        <w:rPr>
          <w:rFonts w:ascii="Times New Roman" w:eastAsia="Times New Roman" w:hAnsi="Times New Roman" w:cs="Times New Roman"/>
        </w:rPr>
        <w:t>.  Key project phases and their respective starting dates (mm/yyyy) are listed below:</w:t>
      </w:r>
    </w:p>
    <w:p w14:paraId="15EC2888" w14:textId="77777777" w:rsidR="00691373" w:rsidRPr="002C4FBA" w:rsidRDefault="00691373" w:rsidP="00691373">
      <w:pPr>
        <w:tabs>
          <w:tab w:val="left" w:pos="360"/>
        </w:tabs>
        <w:spacing w:after="0" w:line="240" w:lineRule="auto"/>
        <w:contextualSpacing/>
        <w:outlineLvl w:val="0"/>
        <w:rPr>
          <w:rFonts w:ascii="Times New Roman" w:eastAsia="Times New Roman" w:hAnsi="Times New Roman" w:cs="Times New Roman"/>
          <w:bCs/>
        </w:rPr>
      </w:pPr>
    </w:p>
    <w:p w14:paraId="1FDB99AA" w14:textId="77777777" w:rsidR="00691373" w:rsidRPr="002C4FBA" w:rsidRDefault="00691373" w:rsidP="00691373">
      <w:pPr>
        <w:spacing w:after="0" w:line="240" w:lineRule="auto"/>
        <w:ind w:left="1440" w:hanging="108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9/2019</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Identify</w:t>
      </w:r>
      <w:r w:rsidRPr="002C4FBA">
        <w:rPr>
          <w:rFonts w:ascii="Times New Roman" w:eastAsia="Times New Roman" w:hAnsi="Times New Roman" w:cs="Times New Roman"/>
          <w:bCs/>
        </w:rPr>
        <w:t xml:space="preserve"> </w:t>
      </w:r>
      <w:r>
        <w:rPr>
          <w:rFonts w:ascii="Times New Roman" w:eastAsia="Times New Roman" w:hAnsi="Times New Roman" w:cs="Times New Roman"/>
          <w:bCs/>
        </w:rPr>
        <w:t>plot subsets f</w:t>
      </w:r>
      <w:r w:rsidRPr="002C4FBA">
        <w:rPr>
          <w:rFonts w:ascii="Times New Roman" w:eastAsia="Times New Roman" w:hAnsi="Times New Roman" w:cs="Times New Roman"/>
          <w:bCs/>
        </w:rPr>
        <w:t xml:space="preserve">or field data collection </w:t>
      </w:r>
      <w:r>
        <w:rPr>
          <w:rFonts w:ascii="Times New Roman" w:eastAsia="Times New Roman" w:hAnsi="Times New Roman" w:cs="Times New Roman"/>
          <w:bCs/>
        </w:rPr>
        <w:t>through auxiliary data and finalize sampling protocol</w:t>
      </w:r>
    </w:p>
    <w:p w14:paraId="46A2C156" w14:textId="77777777" w:rsidR="00691373" w:rsidRPr="002C4FBA" w:rsidRDefault="00691373" w:rsidP="00691373">
      <w:pPr>
        <w:spacing w:after="0" w:line="240" w:lineRule="auto"/>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01/2020</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Type I and V</w:t>
      </w:r>
    </w:p>
    <w:p w14:paraId="6CDFCB05" w14:textId="77777777" w:rsidR="00691373" w:rsidRPr="002C4FBA" w:rsidRDefault="00691373" w:rsidP="00691373">
      <w:pPr>
        <w:spacing w:after="0" w:line="240" w:lineRule="auto"/>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 xml:space="preserve">20 </w:t>
      </w:r>
      <w:r w:rsidRPr="002C4FBA">
        <w:rPr>
          <w:rFonts w:ascii="Times New Roman" w:eastAsia="Times New Roman" w:hAnsi="Times New Roman" w:cs="Times New Roman"/>
          <w:bCs/>
        </w:rPr>
        <w:t xml:space="preserve">– </w:t>
      </w:r>
      <w:r>
        <w:rPr>
          <w:rFonts w:ascii="Times New Roman" w:eastAsia="Times New Roman" w:hAnsi="Times New Roman" w:cs="Times New Roman"/>
          <w:bCs/>
        </w:rPr>
        <w:tab/>
        <w:t>Sample processing</w:t>
      </w:r>
    </w:p>
    <w:p w14:paraId="607C634B" w14:textId="77777777" w:rsidR="00691373" w:rsidRPr="002C4FBA" w:rsidRDefault="00691373" w:rsidP="00691373">
      <w:pPr>
        <w:spacing w:after="0" w:line="240" w:lineRule="auto"/>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01/20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Data collection SMC V</w:t>
      </w:r>
    </w:p>
    <w:p w14:paraId="1EFA246B" w14:textId="77777777" w:rsidR="00691373" w:rsidRDefault="00691373" w:rsidP="00691373">
      <w:pPr>
        <w:spacing w:after="0" w:line="240" w:lineRule="auto"/>
        <w:ind w:left="360"/>
        <w:contextualSpacing/>
        <w:outlineLvl w:val="0"/>
        <w:rPr>
          <w:rFonts w:ascii="Times New Roman" w:eastAsia="Times New Roman" w:hAnsi="Times New Roman" w:cs="Times New Roman"/>
          <w:bCs/>
        </w:rPr>
      </w:pPr>
      <w:r w:rsidRPr="002C4FBA">
        <w:rPr>
          <w:rFonts w:ascii="Times New Roman" w:eastAsia="Times New Roman" w:hAnsi="Times New Roman" w:cs="Times New Roman"/>
          <w:bCs/>
        </w:rPr>
        <w:t>0</w:t>
      </w:r>
      <w:r>
        <w:rPr>
          <w:rFonts w:ascii="Times New Roman" w:eastAsia="Times New Roman" w:hAnsi="Times New Roman" w:cs="Times New Roman"/>
          <w:bCs/>
        </w:rPr>
        <w:t>6/</w:t>
      </w:r>
      <w:r w:rsidRPr="002C4FBA">
        <w:rPr>
          <w:rFonts w:ascii="Times New Roman" w:eastAsia="Times New Roman" w:hAnsi="Times New Roman" w:cs="Times New Roman"/>
          <w:bCs/>
        </w:rPr>
        <w:t>20</w:t>
      </w:r>
      <w:r>
        <w:rPr>
          <w:rFonts w:ascii="Times New Roman" w:eastAsia="Times New Roman" w:hAnsi="Times New Roman" w:cs="Times New Roman"/>
          <w:bCs/>
        </w:rPr>
        <w:t>21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t>Sample processing</w:t>
      </w:r>
      <w:r w:rsidRPr="002C4FBA">
        <w:rPr>
          <w:rFonts w:ascii="Times New Roman" w:eastAsia="Times New Roman" w:hAnsi="Times New Roman" w:cs="Times New Roman"/>
          <w:bCs/>
        </w:rPr>
        <w:t xml:space="preserve"> </w:t>
      </w:r>
    </w:p>
    <w:p w14:paraId="7D53CD1F" w14:textId="77777777" w:rsidR="00691373" w:rsidRDefault="00691373" w:rsidP="00691373">
      <w:pPr>
        <w:spacing w:after="0" w:line="240" w:lineRule="auto"/>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09</w:t>
      </w:r>
      <w:r w:rsidRPr="002C4FBA">
        <w:rPr>
          <w:rFonts w:ascii="Times New Roman" w:eastAsia="Times New Roman" w:hAnsi="Times New Roman" w:cs="Times New Roman"/>
          <w:bCs/>
        </w:rPr>
        <w:t>/20</w:t>
      </w:r>
      <w:r>
        <w:rPr>
          <w:rFonts w:ascii="Times New Roman" w:eastAsia="Times New Roman" w:hAnsi="Times New Roman" w:cs="Times New Roman"/>
          <w:bCs/>
        </w:rPr>
        <w:t>2</w:t>
      </w:r>
      <w:r w:rsidR="00CA5E7D">
        <w:rPr>
          <w:rFonts w:ascii="Times New Roman" w:eastAsia="Times New Roman" w:hAnsi="Times New Roman" w:cs="Times New Roman"/>
          <w:bCs/>
        </w:rPr>
        <w:t>1</w:t>
      </w:r>
      <w:r w:rsidRPr="002C4FBA">
        <w:rPr>
          <w:rFonts w:ascii="Times New Roman" w:eastAsia="Times New Roman" w:hAnsi="Times New Roman" w:cs="Times New Roman"/>
          <w:bCs/>
        </w:rPr>
        <w:t xml:space="preserve"> – </w:t>
      </w:r>
      <w:r>
        <w:rPr>
          <w:rFonts w:ascii="Times New Roman" w:eastAsia="Times New Roman" w:hAnsi="Times New Roman" w:cs="Times New Roman"/>
          <w:bCs/>
        </w:rPr>
        <w:tab/>
      </w:r>
      <w:r w:rsidRPr="002C4FBA">
        <w:rPr>
          <w:rFonts w:ascii="Times New Roman" w:eastAsia="Times New Roman" w:hAnsi="Times New Roman" w:cs="Times New Roman"/>
          <w:bCs/>
        </w:rPr>
        <w:t>Submit final report</w:t>
      </w:r>
      <w:r>
        <w:rPr>
          <w:rFonts w:ascii="Times New Roman" w:eastAsia="Times New Roman" w:hAnsi="Times New Roman" w:cs="Times New Roman"/>
          <w:bCs/>
        </w:rPr>
        <w:t xml:space="preserve">s and </w:t>
      </w:r>
      <w:r w:rsidRPr="002C4FBA">
        <w:rPr>
          <w:rFonts w:ascii="Times New Roman" w:eastAsia="Times New Roman" w:hAnsi="Times New Roman" w:cs="Times New Roman"/>
          <w:bCs/>
        </w:rPr>
        <w:t xml:space="preserve">journal manuscripts, present findings at a conference </w:t>
      </w:r>
    </w:p>
    <w:p w14:paraId="12F11D91" w14:textId="77777777" w:rsidR="00691373" w:rsidRPr="002C4FBA" w:rsidRDefault="00691373" w:rsidP="00691373">
      <w:pPr>
        <w:spacing w:after="0" w:line="240" w:lineRule="auto"/>
        <w:ind w:left="360"/>
        <w:contextualSpacing/>
        <w:outlineLvl w:val="0"/>
        <w:rPr>
          <w:rFonts w:ascii="Times New Roman" w:eastAsia="Times New Roman" w:hAnsi="Times New Roman" w:cs="Times New Roman"/>
          <w:bCs/>
        </w:rPr>
      </w:pPr>
      <w:r>
        <w:rPr>
          <w:rFonts w:ascii="Times New Roman" w:eastAsia="Times New Roman" w:hAnsi="Times New Roman" w:cs="Times New Roman"/>
          <w:bCs/>
        </w:rPr>
        <w:t>12/202</w:t>
      </w:r>
      <w:r w:rsidR="00CA5E7D">
        <w:rPr>
          <w:rFonts w:ascii="Times New Roman" w:eastAsia="Times New Roman" w:hAnsi="Times New Roman" w:cs="Times New Roman"/>
          <w:bCs/>
        </w:rPr>
        <w:t>1</w:t>
      </w:r>
      <w:r>
        <w:rPr>
          <w:rFonts w:ascii="Times New Roman" w:eastAsia="Times New Roman" w:hAnsi="Times New Roman" w:cs="Times New Roman"/>
          <w:bCs/>
        </w:rPr>
        <w:t xml:space="preserve"> </w:t>
      </w:r>
      <w:r w:rsidRPr="002C4FBA">
        <w:rPr>
          <w:rFonts w:ascii="Times New Roman" w:eastAsia="Times New Roman" w:hAnsi="Times New Roman" w:cs="Times New Roman"/>
          <w:bCs/>
        </w:rPr>
        <w:t>–</w:t>
      </w:r>
      <w:r>
        <w:rPr>
          <w:rFonts w:ascii="Times New Roman" w:eastAsia="Times New Roman" w:hAnsi="Times New Roman" w:cs="Times New Roman"/>
          <w:bCs/>
        </w:rPr>
        <w:t xml:space="preserve"> </w:t>
      </w:r>
      <w:r>
        <w:rPr>
          <w:rFonts w:ascii="Times New Roman" w:eastAsia="Times New Roman" w:hAnsi="Times New Roman" w:cs="Times New Roman"/>
          <w:bCs/>
        </w:rPr>
        <w:tab/>
        <w:t>Project completion</w:t>
      </w:r>
    </w:p>
    <w:p w14:paraId="47080E87" w14:textId="77777777" w:rsidR="00691373" w:rsidRDefault="00691373" w:rsidP="00691373">
      <w:pPr>
        <w:rPr>
          <w:rFonts w:ascii="Times New Roman" w:eastAsia="Times New Roman" w:hAnsi="Times New Roman" w:cs="Times New Roman"/>
          <w:b/>
        </w:rPr>
      </w:pPr>
    </w:p>
    <w:p w14:paraId="1B223C7E" w14:textId="77777777" w:rsidR="00CA5E7D" w:rsidRDefault="00CA5E7D" w:rsidP="00691373">
      <w:pPr>
        <w:spacing w:after="0" w:line="240" w:lineRule="auto"/>
        <w:rPr>
          <w:rFonts w:ascii="Times New Roman" w:hAnsi="Times New Roman" w:cs="Times New Roman"/>
          <w:b/>
        </w:rPr>
      </w:pPr>
    </w:p>
    <w:p w14:paraId="0B777363" w14:textId="77777777" w:rsidR="00CA5E7D" w:rsidRDefault="00CA5E7D" w:rsidP="00691373">
      <w:pPr>
        <w:spacing w:after="0" w:line="240" w:lineRule="auto"/>
        <w:rPr>
          <w:rFonts w:ascii="Times New Roman" w:hAnsi="Times New Roman" w:cs="Times New Roman"/>
          <w:b/>
        </w:rPr>
      </w:pPr>
    </w:p>
    <w:p w14:paraId="009246A1" w14:textId="77777777" w:rsidR="00BE0FCC" w:rsidRDefault="00BE0FCC" w:rsidP="00691373">
      <w:pPr>
        <w:spacing w:after="0" w:line="240" w:lineRule="auto"/>
        <w:rPr>
          <w:rFonts w:ascii="Times New Roman" w:hAnsi="Times New Roman" w:cs="Times New Roman"/>
          <w:b/>
        </w:rPr>
      </w:pPr>
    </w:p>
    <w:p w14:paraId="06AC41AB" w14:textId="77777777" w:rsidR="00BE0FCC" w:rsidRDefault="00BE0FCC" w:rsidP="00691373">
      <w:pPr>
        <w:spacing w:after="0" w:line="240" w:lineRule="auto"/>
        <w:rPr>
          <w:rFonts w:ascii="Times New Roman" w:hAnsi="Times New Roman" w:cs="Times New Roman"/>
          <w:b/>
        </w:rPr>
      </w:pPr>
    </w:p>
    <w:p w14:paraId="195FF2EC" w14:textId="77777777" w:rsidR="00691373" w:rsidRDefault="00691373" w:rsidP="00691373">
      <w:pPr>
        <w:spacing w:after="0" w:line="240" w:lineRule="auto"/>
        <w:rPr>
          <w:rFonts w:ascii="Times New Roman" w:hAnsi="Times New Roman" w:cs="Times New Roman"/>
          <w:b/>
        </w:rPr>
      </w:pPr>
      <w:r>
        <w:rPr>
          <w:rFonts w:ascii="Times New Roman" w:hAnsi="Times New Roman" w:cs="Times New Roman"/>
          <w:b/>
        </w:rPr>
        <w:lastRenderedPageBreak/>
        <w:t>PROPOSED BUDGET</w:t>
      </w:r>
    </w:p>
    <w:tbl>
      <w:tblPr>
        <w:tblStyle w:val="TableGrid"/>
        <w:tblpPr w:leftFromText="180" w:rightFromText="180" w:vertAnchor="text" w:tblpY="1"/>
        <w:tblOverlap w:val="never"/>
        <w:tblW w:w="9988" w:type="dxa"/>
        <w:tblLayout w:type="fixed"/>
        <w:tblLook w:val="04A0" w:firstRow="1" w:lastRow="0" w:firstColumn="1" w:lastColumn="0" w:noHBand="0" w:noVBand="1"/>
      </w:tblPr>
      <w:tblGrid>
        <w:gridCol w:w="1862"/>
        <w:gridCol w:w="5418"/>
        <w:gridCol w:w="2708"/>
      </w:tblGrid>
      <w:tr w:rsidR="00691373" w:rsidRPr="009771AD" w14:paraId="30D17649" w14:textId="77777777" w:rsidTr="00C805D3">
        <w:trPr>
          <w:trHeight w:val="280"/>
        </w:trPr>
        <w:tc>
          <w:tcPr>
            <w:tcW w:w="1862" w:type="dxa"/>
            <w:tcBorders>
              <w:bottom w:val="single" w:sz="18" w:space="0" w:color="auto"/>
            </w:tcBorders>
            <w:noWrap/>
            <w:hideMark/>
          </w:tcPr>
          <w:p w14:paraId="10F716C0"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Budget item:</w:t>
            </w:r>
          </w:p>
        </w:tc>
        <w:tc>
          <w:tcPr>
            <w:tcW w:w="5418" w:type="dxa"/>
            <w:tcBorders>
              <w:bottom w:val="single" w:sz="18" w:space="0" w:color="auto"/>
            </w:tcBorders>
            <w:noWrap/>
            <w:hideMark/>
          </w:tcPr>
          <w:p w14:paraId="723078C2"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Justification</w:t>
            </w:r>
          </w:p>
        </w:tc>
        <w:tc>
          <w:tcPr>
            <w:tcW w:w="2708" w:type="dxa"/>
            <w:tcBorders>
              <w:bottom w:val="single" w:sz="18" w:space="0" w:color="auto"/>
            </w:tcBorders>
            <w:noWrap/>
            <w:hideMark/>
          </w:tcPr>
          <w:p w14:paraId="4895AB17"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Cost</w:t>
            </w:r>
          </w:p>
        </w:tc>
      </w:tr>
      <w:tr w:rsidR="00691373" w:rsidRPr="009771AD" w14:paraId="41AD5313" w14:textId="77777777" w:rsidTr="00C805D3">
        <w:trPr>
          <w:trHeight w:val="571"/>
        </w:trPr>
        <w:tc>
          <w:tcPr>
            <w:tcW w:w="1862" w:type="dxa"/>
            <w:noWrap/>
          </w:tcPr>
          <w:p w14:paraId="6EB39BB1"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Graduate Student (</w:t>
            </w:r>
            <w:r w:rsidR="00CA5E7D">
              <w:rPr>
                <w:rFonts w:ascii="Times New Roman" w:eastAsia="Times New Roman" w:hAnsi="Times New Roman" w:cs="Times New Roman"/>
                <w:sz w:val="16"/>
                <w:szCs w:val="24"/>
              </w:rPr>
              <w:t>MSc</w:t>
            </w:r>
            <w:r w:rsidRPr="009771AD">
              <w:rPr>
                <w:rFonts w:ascii="Times New Roman" w:eastAsia="Times New Roman" w:hAnsi="Times New Roman" w:cs="Times New Roman"/>
                <w:sz w:val="16"/>
                <w:szCs w:val="24"/>
              </w:rPr>
              <w:t>)</w:t>
            </w:r>
          </w:p>
        </w:tc>
        <w:tc>
          <w:tcPr>
            <w:tcW w:w="5418" w:type="dxa"/>
          </w:tcPr>
          <w:p w14:paraId="7B68D8F2"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12 months per year. Responsible for analyzing data, laboratory processing, writing reports and journal articles.</w:t>
            </w:r>
          </w:p>
        </w:tc>
        <w:tc>
          <w:tcPr>
            <w:tcW w:w="2708" w:type="dxa"/>
            <w:noWrap/>
          </w:tcPr>
          <w:p w14:paraId="0057C1AA"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sidR="00CA5E7D">
              <w:rPr>
                <w:rFonts w:ascii="Times New Roman" w:eastAsia="Times New Roman" w:hAnsi="Times New Roman" w:cs="Times New Roman"/>
                <w:sz w:val="16"/>
                <w:szCs w:val="24"/>
              </w:rPr>
              <w:t>42</w:t>
            </w:r>
            <w:r w:rsidRPr="009771AD">
              <w:rPr>
                <w:rFonts w:ascii="Times New Roman" w:eastAsia="Times New Roman" w:hAnsi="Times New Roman" w:cs="Times New Roman"/>
                <w:sz w:val="16"/>
                <w:szCs w:val="24"/>
              </w:rPr>
              <w:t>,000</w:t>
            </w:r>
          </w:p>
        </w:tc>
      </w:tr>
      <w:tr w:rsidR="00691373" w:rsidRPr="009771AD" w14:paraId="401EBE3B" w14:textId="77777777" w:rsidTr="00C805D3">
        <w:trPr>
          <w:trHeight w:val="386"/>
        </w:trPr>
        <w:tc>
          <w:tcPr>
            <w:tcW w:w="1862" w:type="dxa"/>
          </w:tcPr>
          <w:p w14:paraId="3158E236"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SMC Field Crew</w:t>
            </w:r>
          </w:p>
        </w:tc>
        <w:tc>
          <w:tcPr>
            <w:tcW w:w="5418" w:type="dxa"/>
          </w:tcPr>
          <w:p w14:paraId="39EAFF78" w14:textId="77777777" w:rsidR="00691373" w:rsidRPr="009771AD" w:rsidRDefault="00CA5E7D" w:rsidP="00C805D3">
            <w:pPr>
              <w:rPr>
                <w:rFonts w:ascii="Times New Roman" w:eastAsia="Times New Roman" w:hAnsi="Times New Roman" w:cs="Times New Roman"/>
                <w:sz w:val="16"/>
                <w:szCs w:val="24"/>
              </w:rPr>
            </w:pPr>
            <w:r>
              <w:rPr>
                <w:rFonts w:ascii="Times New Roman" w:eastAsia="Times New Roman" w:hAnsi="Times New Roman" w:cs="Times New Roman"/>
                <w:sz w:val="16"/>
                <w:szCs w:val="24"/>
              </w:rPr>
              <w:t>48</w:t>
            </w:r>
            <w:r w:rsidR="00691373" w:rsidRPr="009771AD">
              <w:rPr>
                <w:rFonts w:ascii="Times New Roman" w:eastAsia="Times New Roman" w:hAnsi="Times New Roman" w:cs="Times New Roman"/>
                <w:sz w:val="16"/>
                <w:szCs w:val="24"/>
              </w:rPr>
              <w:t xml:space="preserve"> installations – estimated 1 day per tree core collection </w:t>
            </w:r>
            <w:r w:rsidRPr="009771AD">
              <w:rPr>
                <w:rFonts w:ascii="Times New Roman" w:eastAsia="Times New Roman" w:hAnsi="Times New Roman" w:cs="Times New Roman"/>
                <w:sz w:val="16"/>
                <w:szCs w:val="24"/>
              </w:rPr>
              <w:t>- Responsible</w:t>
            </w:r>
            <w:r w:rsidR="00691373" w:rsidRPr="009771AD">
              <w:rPr>
                <w:rFonts w:ascii="Times New Roman" w:eastAsia="Times New Roman" w:hAnsi="Times New Roman" w:cs="Times New Roman"/>
                <w:sz w:val="16"/>
                <w:szCs w:val="24"/>
              </w:rPr>
              <w:t xml:space="preserve"> for field </w:t>
            </w:r>
            <w:r>
              <w:rPr>
                <w:rFonts w:ascii="Times New Roman" w:eastAsia="Times New Roman" w:hAnsi="Times New Roman" w:cs="Times New Roman"/>
                <w:sz w:val="16"/>
                <w:szCs w:val="24"/>
              </w:rPr>
              <w:t>sampling</w:t>
            </w:r>
          </w:p>
        </w:tc>
        <w:tc>
          <w:tcPr>
            <w:tcW w:w="2708" w:type="dxa"/>
            <w:noWrap/>
          </w:tcPr>
          <w:p w14:paraId="07576DDF" w14:textId="77777777" w:rsidR="00691373" w:rsidRPr="009771AD" w:rsidRDefault="00691373"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sidR="00CA5E7D">
              <w:rPr>
                <w:rFonts w:ascii="Times New Roman" w:eastAsia="Times New Roman" w:hAnsi="Times New Roman" w:cs="Times New Roman"/>
                <w:sz w:val="16"/>
                <w:szCs w:val="24"/>
              </w:rPr>
              <w:t>52</w:t>
            </w:r>
            <w:r w:rsidRPr="009771AD">
              <w:rPr>
                <w:rFonts w:ascii="Times New Roman" w:eastAsia="Times New Roman" w:hAnsi="Times New Roman" w:cs="Times New Roman"/>
                <w:sz w:val="16"/>
                <w:szCs w:val="24"/>
              </w:rPr>
              <w:t>,400</w:t>
            </w:r>
          </w:p>
        </w:tc>
      </w:tr>
      <w:tr w:rsidR="00CA5E7D" w:rsidRPr="009771AD" w14:paraId="1EBE6F12" w14:textId="77777777" w:rsidTr="00C805D3">
        <w:trPr>
          <w:trHeight w:val="545"/>
        </w:trPr>
        <w:tc>
          <w:tcPr>
            <w:tcW w:w="1862" w:type="dxa"/>
            <w:noWrap/>
          </w:tcPr>
          <w:p w14:paraId="7674BC71"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Contract Services</w:t>
            </w:r>
          </w:p>
          <w:p w14:paraId="776E212D"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(IsoLab- UW):</w:t>
            </w:r>
          </w:p>
        </w:tc>
        <w:tc>
          <w:tcPr>
            <w:tcW w:w="5418" w:type="dxa"/>
          </w:tcPr>
          <w:p w14:paraId="56FBAB5D"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Isotopic analyses – a large number needed to determine physiologic processes to treatment over time across the region</w:t>
            </w:r>
          </w:p>
        </w:tc>
        <w:tc>
          <w:tcPr>
            <w:tcW w:w="2708" w:type="dxa"/>
            <w:noWrap/>
          </w:tcPr>
          <w:p w14:paraId="0FE9FDE8"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6</w:t>
            </w:r>
            <w:r w:rsidRPr="009771AD">
              <w:rPr>
                <w:rFonts w:ascii="Times New Roman" w:eastAsia="Times New Roman" w:hAnsi="Times New Roman" w:cs="Times New Roman"/>
                <w:sz w:val="16"/>
                <w:szCs w:val="24"/>
              </w:rPr>
              <w:t>7,2</w:t>
            </w:r>
            <w:r>
              <w:rPr>
                <w:rFonts w:ascii="Times New Roman" w:eastAsia="Times New Roman" w:hAnsi="Times New Roman" w:cs="Times New Roman"/>
                <w:sz w:val="16"/>
                <w:szCs w:val="24"/>
              </w:rPr>
              <w:t>0</w:t>
            </w:r>
            <w:r w:rsidRPr="009771AD">
              <w:rPr>
                <w:rFonts w:ascii="Times New Roman" w:eastAsia="Times New Roman" w:hAnsi="Times New Roman" w:cs="Times New Roman"/>
                <w:sz w:val="16"/>
                <w:szCs w:val="24"/>
              </w:rPr>
              <w:t>0</w:t>
            </w:r>
          </w:p>
        </w:tc>
      </w:tr>
      <w:tr w:rsidR="00CA5E7D" w:rsidRPr="009771AD" w14:paraId="6DF00A8E" w14:textId="77777777" w:rsidTr="00C805D3">
        <w:trPr>
          <w:trHeight w:val="545"/>
        </w:trPr>
        <w:tc>
          <w:tcPr>
            <w:tcW w:w="1862" w:type="dxa"/>
            <w:noWrap/>
          </w:tcPr>
          <w:p w14:paraId="0AB7CB73" w14:textId="77777777" w:rsidR="00CA5E7D" w:rsidRPr="009771AD" w:rsidRDefault="00CA5E7D" w:rsidP="00C805D3">
            <w:pPr>
              <w:rPr>
                <w:rFonts w:ascii="Times New Roman" w:eastAsia="Times New Roman" w:hAnsi="Times New Roman" w:cs="Times New Roman"/>
                <w:sz w:val="16"/>
                <w:szCs w:val="24"/>
              </w:rPr>
            </w:pPr>
            <w:r>
              <w:rPr>
                <w:rFonts w:ascii="Times New Roman" w:eastAsia="Times New Roman" w:hAnsi="Times New Roman" w:cs="Times New Roman"/>
                <w:sz w:val="16"/>
                <w:szCs w:val="24"/>
              </w:rPr>
              <w:t>UW Overhead (40%)</w:t>
            </w:r>
          </w:p>
        </w:tc>
        <w:tc>
          <w:tcPr>
            <w:tcW w:w="5418" w:type="dxa"/>
          </w:tcPr>
          <w:p w14:paraId="4804C050" w14:textId="77777777" w:rsidR="00CA5E7D" w:rsidRPr="009771AD" w:rsidRDefault="00CA5E7D" w:rsidP="00C805D3">
            <w:pPr>
              <w:rPr>
                <w:rFonts w:ascii="Times New Roman" w:eastAsia="Times New Roman" w:hAnsi="Times New Roman" w:cs="Times New Roman"/>
                <w:sz w:val="16"/>
                <w:szCs w:val="24"/>
              </w:rPr>
            </w:pPr>
          </w:p>
        </w:tc>
        <w:tc>
          <w:tcPr>
            <w:tcW w:w="2708" w:type="dxa"/>
            <w:noWrap/>
          </w:tcPr>
          <w:p w14:paraId="7952861D" w14:textId="77777777" w:rsidR="00CA5E7D" w:rsidRPr="009771AD" w:rsidRDefault="00CA5E7D" w:rsidP="00C805D3">
            <w:pPr>
              <w:rPr>
                <w:rFonts w:ascii="Times New Roman" w:eastAsia="Times New Roman" w:hAnsi="Times New Roman" w:cs="Times New Roman"/>
                <w:sz w:val="16"/>
                <w:szCs w:val="24"/>
              </w:rPr>
            </w:pPr>
            <w:r>
              <w:rPr>
                <w:rFonts w:ascii="Times New Roman" w:eastAsia="Times New Roman" w:hAnsi="Times New Roman" w:cs="Times New Roman"/>
                <w:sz w:val="16"/>
                <w:szCs w:val="24"/>
              </w:rPr>
              <w:t>$64,640</w:t>
            </w:r>
          </w:p>
        </w:tc>
      </w:tr>
      <w:tr w:rsidR="00CA5E7D" w:rsidRPr="009771AD" w14:paraId="2909CC1E" w14:textId="77777777" w:rsidTr="000A2ED0">
        <w:trPr>
          <w:trHeight w:val="183"/>
        </w:trPr>
        <w:tc>
          <w:tcPr>
            <w:tcW w:w="1862" w:type="dxa"/>
            <w:tcBorders>
              <w:top w:val="single" w:sz="18" w:space="0" w:color="auto"/>
            </w:tcBorders>
            <w:noWrap/>
          </w:tcPr>
          <w:p w14:paraId="2CD1EBE3"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b/>
                <w:sz w:val="16"/>
                <w:szCs w:val="24"/>
              </w:rPr>
              <w:t>Total</w:t>
            </w:r>
          </w:p>
        </w:tc>
        <w:tc>
          <w:tcPr>
            <w:tcW w:w="5418" w:type="dxa"/>
            <w:tcBorders>
              <w:top w:val="single" w:sz="18" w:space="0" w:color="auto"/>
            </w:tcBorders>
          </w:tcPr>
          <w:p w14:paraId="0C533883" w14:textId="77777777" w:rsidR="00CA5E7D" w:rsidRPr="009771AD" w:rsidRDefault="00CA5E7D" w:rsidP="00C805D3">
            <w:pPr>
              <w:rPr>
                <w:rFonts w:ascii="Times New Roman" w:eastAsia="Times New Roman" w:hAnsi="Times New Roman" w:cs="Times New Roman"/>
                <w:sz w:val="16"/>
                <w:szCs w:val="24"/>
              </w:rPr>
            </w:pPr>
          </w:p>
        </w:tc>
        <w:tc>
          <w:tcPr>
            <w:tcW w:w="2708" w:type="dxa"/>
            <w:tcBorders>
              <w:top w:val="single" w:sz="18" w:space="0" w:color="auto"/>
            </w:tcBorders>
            <w:noWrap/>
          </w:tcPr>
          <w:p w14:paraId="6FABB348" w14:textId="77777777" w:rsidR="00CA5E7D" w:rsidRPr="009771AD" w:rsidRDefault="00CA5E7D" w:rsidP="00C805D3">
            <w:pPr>
              <w:rPr>
                <w:rFonts w:ascii="Times New Roman" w:eastAsia="Times New Roman" w:hAnsi="Times New Roman" w:cs="Times New Roman"/>
                <w:sz w:val="16"/>
                <w:szCs w:val="24"/>
              </w:rPr>
            </w:pPr>
            <w:r w:rsidRPr="009771AD">
              <w:rPr>
                <w:rFonts w:ascii="Times New Roman" w:eastAsia="Times New Roman" w:hAnsi="Times New Roman" w:cs="Times New Roman"/>
                <w:sz w:val="16"/>
                <w:szCs w:val="24"/>
              </w:rPr>
              <w:t>$</w:t>
            </w:r>
            <w:r>
              <w:rPr>
                <w:rFonts w:ascii="Times New Roman" w:eastAsia="Times New Roman" w:hAnsi="Times New Roman" w:cs="Times New Roman"/>
                <w:sz w:val="16"/>
                <w:szCs w:val="24"/>
              </w:rPr>
              <w:t>226,240</w:t>
            </w:r>
          </w:p>
        </w:tc>
      </w:tr>
    </w:tbl>
    <w:p w14:paraId="77E85138" w14:textId="77777777" w:rsidR="00691373" w:rsidRDefault="00691373" w:rsidP="00691373">
      <w:pPr>
        <w:spacing w:after="0" w:line="240" w:lineRule="auto"/>
        <w:rPr>
          <w:rFonts w:ascii="Times New Roman" w:hAnsi="Times New Roman" w:cs="Times New Roman"/>
          <w:b/>
        </w:rPr>
      </w:pPr>
    </w:p>
    <w:p w14:paraId="2680C5A2" w14:textId="77777777" w:rsidR="00691373" w:rsidRPr="00197BAC" w:rsidRDefault="00691373" w:rsidP="00691373">
      <w:pPr>
        <w:spacing w:after="0" w:line="240" w:lineRule="auto"/>
        <w:rPr>
          <w:rFonts w:ascii="Times New Roman" w:hAnsi="Times New Roman" w:cs="Times New Roman"/>
          <w:b/>
          <w:u w:val="single"/>
        </w:rPr>
      </w:pPr>
      <w:r w:rsidRPr="00197BAC">
        <w:rPr>
          <w:rFonts w:ascii="Times New Roman" w:hAnsi="Times New Roman" w:cs="Times New Roman"/>
          <w:b/>
          <w:u w:val="single"/>
        </w:rPr>
        <w:t>LITERATURE CITED</w:t>
      </w:r>
    </w:p>
    <w:p w14:paraId="352AAE18" w14:textId="77777777" w:rsidR="00691373" w:rsidRDefault="00691373" w:rsidP="00691373">
      <w:pPr>
        <w:spacing w:after="0" w:line="240" w:lineRule="auto"/>
        <w:rPr>
          <w:rFonts w:ascii="Times New Roman" w:hAnsi="Times New Roman" w:cs="Times New Roman"/>
        </w:rPr>
      </w:pPr>
    </w:p>
    <w:p w14:paraId="4165AB2E"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Assman, E. The principles of Forest Yield Study. Studies in the organic production, structure, increment and yield of forest stands. 1970. Oxford Pergamon Press. 506 p. </w:t>
      </w:r>
    </w:p>
    <w:p w14:paraId="7464E317" w14:textId="77777777" w:rsidR="00691373" w:rsidRPr="00446FBE" w:rsidRDefault="00691373" w:rsidP="00691373">
      <w:pPr>
        <w:spacing w:after="0" w:line="240" w:lineRule="auto"/>
        <w:rPr>
          <w:rFonts w:ascii="Times New Roman" w:hAnsi="Times New Roman" w:cs="Times New Roman"/>
          <w:sz w:val="11"/>
          <w:szCs w:val="13"/>
        </w:rPr>
      </w:pPr>
    </w:p>
    <w:p w14:paraId="5D68F253"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Binkley D. 1986. Forest Nutrition Management. John Wiley and sons publishing. 304 p. </w:t>
      </w:r>
    </w:p>
    <w:p w14:paraId="1E25357E" w14:textId="77777777" w:rsidR="00691373" w:rsidRPr="00446FBE" w:rsidRDefault="00691373" w:rsidP="00691373">
      <w:pPr>
        <w:spacing w:after="0" w:line="240" w:lineRule="auto"/>
        <w:rPr>
          <w:rFonts w:ascii="Times New Roman" w:hAnsi="Times New Roman" w:cs="Times New Roman"/>
          <w:sz w:val="11"/>
          <w:szCs w:val="13"/>
        </w:rPr>
      </w:pPr>
    </w:p>
    <w:p w14:paraId="1481E65D" w14:textId="77777777" w:rsidR="00691373" w:rsidRPr="00446FBE" w:rsidRDefault="00691373" w:rsidP="00691373">
      <w:pPr>
        <w:spacing w:after="0" w:line="240" w:lineRule="auto"/>
        <w:rPr>
          <w:rFonts w:ascii="Times New Roman" w:hAnsi="Times New Roman" w:cs="Times New Roman"/>
          <w:bCs/>
          <w:sz w:val="11"/>
          <w:szCs w:val="13"/>
        </w:rPr>
      </w:pPr>
      <w:r w:rsidRPr="00446FBE">
        <w:rPr>
          <w:rFonts w:ascii="Times New Roman" w:hAnsi="Times New Roman" w:cs="Times New Roman"/>
          <w:bCs/>
          <w:sz w:val="11"/>
          <w:szCs w:val="13"/>
        </w:rPr>
        <w:t>Brix, H. J.  1983.  Effects of thinning and nitrogen fertilization on growth of Douglas-fir: relative contribution of foliage quantity and efficiency. Can. J. For. Res. 13:167-175.</w:t>
      </w:r>
    </w:p>
    <w:p w14:paraId="566F2B1E" w14:textId="77777777" w:rsidR="00691373" w:rsidRPr="00446FBE" w:rsidRDefault="00691373" w:rsidP="00691373">
      <w:pPr>
        <w:spacing w:after="0" w:line="240" w:lineRule="auto"/>
        <w:rPr>
          <w:rFonts w:ascii="Times New Roman" w:hAnsi="Times New Roman" w:cs="Times New Roman"/>
          <w:sz w:val="11"/>
          <w:szCs w:val="13"/>
        </w:rPr>
      </w:pPr>
    </w:p>
    <w:p w14:paraId="01D5F39F"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Brooks, J.R. and A.K. Mitchell. 2011. Interpreting tree responses to thinning and fertilization using tree-ring stable isotopes. </w:t>
      </w:r>
      <w:r w:rsidRPr="00446FBE">
        <w:rPr>
          <w:rFonts w:ascii="Times New Roman" w:hAnsi="Times New Roman" w:cs="Times New Roman"/>
          <w:i/>
          <w:sz w:val="11"/>
          <w:szCs w:val="13"/>
        </w:rPr>
        <w:t>New Phyto</w:t>
      </w:r>
      <w:r w:rsidRPr="00446FBE">
        <w:rPr>
          <w:rFonts w:ascii="Times New Roman" w:hAnsi="Times New Roman" w:cs="Times New Roman"/>
          <w:sz w:val="11"/>
          <w:szCs w:val="13"/>
        </w:rPr>
        <w:t>. 190: 770-782</w:t>
      </w:r>
    </w:p>
    <w:p w14:paraId="07EFC673" w14:textId="77777777" w:rsidR="00691373" w:rsidRPr="00446FBE" w:rsidRDefault="00691373" w:rsidP="00691373">
      <w:pPr>
        <w:spacing w:after="0" w:line="240" w:lineRule="auto"/>
        <w:rPr>
          <w:rFonts w:ascii="Times New Roman" w:hAnsi="Times New Roman" w:cs="Times New Roman"/>
          <w:sz w:val="11"/>
          <w:szCs w:val="13"/>
        </w:rPr>
      </w:pPr>
    </w:p>
    <w:p w14:paraId="149CD94A"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Clutter, J.L., J.C. Fortson, L.V. Pienaar, G.H. Brister, and Bailey, R.L. 1983. Timber management a quantitative approach. John Wiley &amp; Sons, New York.</w:t>
      </w:r>
    </w:p>
    <w:p w14:paraId="60489622"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333 p.</w:t>
      </w:r>
    </w:p>
    <w:p w14:paraId="5BB47206" w14:textId="77777777" w:rsidR="00691373" w:rsidRPr="00446FBE" w:rsidRDefault="00691373" w:rsidP="00691373">
      <w:pPr>
        <w:spacing w:after="0" w:line="240" w:lineRule="auto"/>
        <w:rPr>
          <w:rFonts w:ascii="Times New Roman" w:hAnsi="Times New Roman" w:cs="Times New Roman"/>
          <w:sz w:val="11"/>
          <w:szCs w:val="13"/>
        </w:rPr>
      </w:pPr>
    </w:p>
    <w:p w14:paraId="34874645"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Cornejo-Oviedo, E., S. Voelker, D. Mainwaring, D. Maquire, F. Meinzer, and J. Renee Brooks. 2017. Basal area growth, carbon isotope discrimination, and intrinsic water use efficiency after fertilization of Douglas-fir in the Oregon Coast Range. </w:t>
      </w:r>
      <w:r w:rsidRPr="00446FBE">
        <w:rPr>
          <w:rFonts w:ascii="Times New Roman" w:hAnsi="Times New Roman" w:cs="Times New Roman"/>
          <w:i/>
          <w:sz w:val="11"/>
          <w:szCs w:val="13"/>
        </w:rPr>
        <w:t>For. Eco. Manage</w:t>
      </w:r>
      <w:r w:rsidRPr="00446FBE">
        <w:rPr>
          <w:rFonts w:ascii="Times New Roman" w:hAnsi="Times New Roman" w:cs="Times New Roman"/>
          <w:sz w:val="11"/>
          <w:szCs w:val="13"/>
        </w:rPr>
        <w:t>. 389: 285-295 </w:t>
      </w:r>
    </w:p>
    <w:p w14:paraId="449F82BC" w14:textId="77777777" w:rsidR="00691373" w:rsidRPr="00446FBE" w:rsidRDefault="00691373" w:rsidP="00691373">
      <w:pPr>
        <w:spacing w:after="0" w:line="240" w:lineRule="auto"/>
        <w:rPr>
          <w:rFonts w:ascii="Times New Roman" w:hAnsi="Times New Roman" w:cs="Times New Roman"/>
          <w:sz w:val="11"/>
          <w:szCs w:val="13"/>
        </w:rPr>
      </w:pPr>
    </w:p>
    <w:p w14:paraId="36672C95"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Farnum, P. 1979. Current problems in design and analysis of fertilizer experiments. In Regional Forest Nutrition Research Project Vol III. Proceedings from the 1979 Forest Fertilization Conference. Edited by S.P. Gessel, R.M. Kenady, and W.A. Atkinson. University of Washington, College of Forest Resources. Alderbrook Inn Union, Washington. pp. 53-58</w:t>
      </w:r>
    </w:p>
    <w:p w14:paraId="2F261224" w14:textId="77777777" w:rsidR="00691373" w:rsidRPr="00446FBE" w:rsidRDefault="00691373" w:rsidP="00691373">
      <w:pPr>
        <w:spacing w:after="0" w:line="240" w:lineRule="auto"/>
        <w:rPr>
          <w:rFonts w:ascii="Times New Roman" w:hAnsi="Times New Roman" w:cs="Times New Roman"/>
          <w:sz w:val="11"/>
          <w:szCs w:val="13"/>
        </w:rPr>
      </w:pPr>
    </w:p>
    <w:p w14:paraId="6292C9E4"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Fisher, R.F., and Binkley, D. Ecology and Management of Forest Soils. 2000. 3rd ed. John Wiley and sons publishing. 489 p. </w:t>
      </w:r>
    </w:p>
    <w:p w14:paraId="34580F5D" w14:textId="77777777" w:rsidR="00691373" w:rsidRPr="00446FBE" w:rsidRDefault="00691373" w:rsidP="00691373">
      <w:pPr>
        <w:spacing w:after="0" w:line="240" w:lineRule="auto"/>
        <w:rPr>
          <w:rFonts w:ascii="Times New Roman" w:hAnsi="Times New Roman" w:cs="Times New Roman"/>
          <w:sz w:val="11"/>
          <w:szCs w:val="13"/>
        </w:rPr>
      </w:pPr>
    </w:p>
    <w:p w14:paraId="31522CF7"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Hinckley, T.M., A.L. Friend and A.K. Mitchell. 1992. Foliage, tree and stand level responses to fertilization: a physiological perspective. In Forest Fertilization: Sustaining and Improving Nutrition and Growth of Western Forests. Eds. N.J. Chappell, G.F. Weetman and R.E. Miller. Inst. For. Resources Contrib., Univ. Washington, Seattle, WA, No. 73, pp 82–89.</w:t>
      </w:r>
    </w:p>
    <w:p w14:paraId="3893D2D4" w14:textId="77777777" w:rsidR="00691373" w:rsidRPr="00446FBE" w:rsidRDefault="00691373" w:rsidP="00691373">
      <w:pPr>
        <w:spacing w:after="0" w:line="240" w:lineRule="auto"/>
        <w:rPr>
          <w:rFonts w:ascii="Times New Roman" w:hAnsi="Times New Roman" w:cs="Times New Roman"/>
          <w:sz w:val="11"/>
          <w:szCs w:val="13"/>
        </w:rPr>
      </w:pPr>
    </w:p>
    <w:p w14:paraId="1A0BD35A"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Gholz, H.L., Ewel, K.C., and Teskey, R.O. 1990. Water and Forest Productivity. For. Eco. Manage. 30, (1-4): 1-18. </w:t>
      </w:r>
    </w:p>
    <w:p w14:paraId="52B7F059" w14:textId="77777777" w:rsidR="00691373" w:rsidRPr="00446FBE" w:rsidRDefault="00691373" w:rsidP="00691373">
      <w:pPr>
        <w:spacing w:after="0" w:line="240" w:lineRule="auto"/>
        <w:rPr>
          <w:rFonts w:ascii="Times New Roman" w:hAnsi="Times New Roman" w:cs="Times New Roman"/>
          <w:sz w:val="11"/>
          <w:szCs w:val="13"/>
        </w:rPr>
      </w:pPr>
    </w:p>
    <w:p w14:paraId="758C5933"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Johnson, G. 2017. Analyzing fertilizer growth response: A story of little big data. Proceedings from the 2017 Western Mensurationists Conference. University of British Columbia. Vancouver, British Columbia. Found online at http://www.westernmensurationists.org/m2017/Johnson.pdf</w:t>
      </w:r>
    </w:p>
    <w:p w14:paraId="2446F5AF" w14:textId="77777777" w:rsidR="00691373" w:rsidRPr="00446FBE" w:rsidRDefault="00691373" w:rsidP="00691373">
      <w:pPr>
        <w:spacing w:after="0" w:line="240" w:lineRule="auto"/>
        <w:rPr>
          <w:rFonts w:ascii="Times New Roman" w:hAnsi="Times New Roman" w:cs="Times New Roman"/>
          <w:sz w:val="11"/>
          <w:szCs w:val="13"/>
        </w:rPr>
      </w:pPr>
    </w:p>
    <w:p w14:paraId="514C13AA"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Knudson, C. glmm: Generalized linear mixed models via Monte Carlo Likelihood approximation. R package version 1.2.3. https://cran.r-project.org/web/packages/glmm/index.html</w:t>
      </w:r>
    </w:p>
    <w:p w14:paraId="6E9B3978" w14:textId="77777777" w:rsidR="00691373" w:rsidRPr="00446FBE" w:rsidRDefault="00691373" w:rsidP="00691373">
      <w:pPr>
        <w:spacing w:after="0" w:line="240" w:lineRule="auto"/>
        <w:rPr>
          <w:rFonts w:ascii="Times New Roman" w:hAnsi="Times New Roman" w:cs="Times New Roman"/>
          <w:sz w:val="11"/>
          <w:szCs w:val="13"/>
        </w:rPr>
      </w:pPr>
    </w:p>
    <w:p w14:paraId="53F8B331"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Landsberg, J. and Sands. P. 2010. Physiological Ecology of Forest Production. Vol 4. Academic Press. 352 p.</w:t>
      </w:r>
    </w:p>
    <w:p w14:paraId="06FF4FB9" w14:textId="77777777" w:rsidR="00691373" w:rsidRPr="00446FBE" w:rsidRDefault="00691373" w:rsidP="00691373">
      <w:pPr>
        <w:spacing w:after="0" w:line="240" w:lineRule="auto"/>
        <w:rPr>
          <w:rFonts w:ascii="Times New Roman" w:hAnsi="Times New Roman" w:cs="Times New Roman"/>
          <w:sz w:val="11"/>
          <w:szCs w:val="13"/>
        </w:rPr>
      </w:pPr>
    </w:p>
    <w:p w14:paraId="0BA2156C" w14:textId="77777777" w:rsidR="00691373" w:rsidRPr="00446FBE" w:rsidRDefault="00691373" w:rsidP="00691373">
      <w:pPr>
        <w:spacing w:after="0" w:line="240" w:lineRule="auto"/>
        <w:rPr>
          <w:rFonts w:ascii="Times New Roman" w:hAnsi="Times New Roman" w:cs="Times New Roman"/>
          <w:bCs/>
          <w:sz w:val="11"/>
          <w:szCs w:val="13"/>
        </w:rPr>
      </w:pPr>
      <w:r w:rsidRPr="00446FBE">
        <w:rPr>
          <w:rFonts w:ascii="Times New Roman" w:hAnsi="Times New Roman" w:cs="Times New Roman"/>
          <w:bCs/>
          <w:sz w:val="11"/>
          <w:szCs w:val="13"/>
        </w:rPr>
        <w:t>Li, Y., E.C. Turnblom, and D. G. Briggs.  2005.  Effects of fertilization and density control on growth and yield of young Douglas-fir plantations: results from SMC TYPE I installations. Stand Management Cooperative, SMC Working Paper No. 4. 57 pp.</w:t>
      </w:r>
    </w:p>
    <w:p w14:paraId="641C7FF6" w14:textId="77777777" w:rsidR="00691373" w:rsidRPr="00446FBE" w:rsidRDefault="00691373" w:rsidP="00691373">
      <w:pPr>
        <w:spacing w:after="0" w:line="240" w:lineRule="auto"/>
        <w:rPr>
          <w:rFonts w:ascii="Times New Roman" w:hAnsi="Times New Roman" w:cs="Times New Roman"/>
          <w:sz w:val="11"/>
          <w:szCs w:val="13"/>
        </w:rPr>
      </w:pPr>
    </w:p>
    <w:p w14:paraId="3465F542"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Littke, K.M., Harrison, R.B., Zabowski, D., Ciol, M.A. and D.G. Briggs. 2014. Prediction of Douglas-fir fertilizer response using biogeoclimatic properties in the coastal Pacific Northwest. Can. J. For. Res. 44: 1253-1264</w:t>
      </w:r>
    </w:p>
    <w:p w14:paraId="467EA63D" w14:textId="77777777" w:rsidR="00691373" w:rsidRPr="00446FBE" w:rsidRDefault="00691373" w:rsidP="00691373">
      <w:pPr>
        <w:spacing w:after="0" w:line="240" w:lineRule="auto"/>
        <w:rPr>
          <w:rFonts w:ascii="Times New Roman" w:hAnsi="Times New Roman" w:cs="Times New Roman"/>
          <w:sz w:val="11"/>
          <w:szCs w:val="13"/>
        </w:rPr>
      </w:pPr>
    </w:p>
    <w:p w14:paraId="03BC5405"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Miller, R.E., Reukema, D.L., and Williamson, R.L. 1979. Response to fertilization in thinned and unthinned Douglas-fir stands. In Regional Forest Nutrition Research Project Vol III. Proceedings from the 1979 Forest Fertilization Conference. Edited by S.P. Gessel, R.M. Kenady, and W.A. Atkinson. </w:t>
      </w:r>
    </w:p>
    <w:p w14:paraId="6AEFFFD5"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University of Washington, College of Forest Resources. Alderbrook Inn Union, Washington. pp. 150-157</w:t>
      </w:r>
    </w:p>
    <w:p w14:paraId="14367B2E" w14:textId="77777777" w:rsidR="00691373" w:rsidRPr="00446FBE" w:rsidRDefault="00691373" w:rsidP="00691373">
      <w:pPr>
        <w:spacing w:after="0" w:line="240" w:lineRule="auto"/>
        <w:rPr>
          <w:rFonts w:ascii="Times New Roman" w:hAnsi="Times New Roman" w:cs="Times New Roman"/>
          <w:sz w:val="11"/>
          <w:szCs w:val="13"/>
        </w:rPr>
      </w:pPr>
    </w:p>
    <w:p w14:paraId="09203D4D"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bCs/>
          <w:sz w:val="11"/>
          <w:szCs w:val="13"/>
        </w:rPr>
        <w:t xml:space="preserve">Peterson, C. 1982.  Regional growth and response analysis for unthinned Douglas-fir.  P 3-25.  </w:t>
      </w:r>
      <w:r w:rsidRPr="00446FBE">
        <w:rPr>
          <w:rFonts w:ascii="Times New Roman" w:hAnsi="Times New Roman" w:cs="Times New Roman"/>
          <w:sz w:val="11"/>
          <w:szCs w:val="13"/>
        </w:rPr>
        <w:t>Univ. of Wa. Regional Forest Nutrition Research Project.  Biennial Report 1980-1982</w:t>
      </w:r>
    </w:p>
    <w:p w14:paraId="34DC5F2E" w14:textId="77777777" w:rsidR="00691373" w:rsidRPr="00446FBE" w:rsidRDefault="00691373" w:rsidP="00691373">
      <w:pPr>
        <w:spacing w:after="0" w:line="240" w:lineRule="auto"/>
        <w:rPr>
          <w:rFonts w:ascii="Times New Roman" w:hAnsi="Times New Roman" w:cs="Times New Roman"/>
          <w:sz w:val="11"/>
          <w:szCs w:val="13"/>
        </w:rPr>
      </w:pPr>
    </w:p>
    <w:p w14:paraId="053C47FF" w14:textId="77777777" w:rsidR="00691373" w:rsidRPr="00446FBE" w:rsidRDefault="00691373" w:rsidP="00691373">
      <w:pPr>
        <w:spacing w:after="0" w:line="240" w:lineRule="auto"/>
        <w:rPr>
          <w:rFonts w:ascii="Times New Roman" w:hAnsi="Times New Roman" w:cs="Times New Roman"/>
          <w:bCs/>
          <w:sz w:val="11"/>
          <w:szCs w:val="13"/>
        </w:rPr>
      </w:pPr>
      <w:r w:rsidRPr="00446FBE">
        <w:rPr>
          <w:rFonts w:ascii="Times New Roman" w:hAnsi="Times New Roman" w:cs="Times New Roman"/>
          <w:sz w:val="11"/>
          <w:szCs w:val="13"/>
        </w:rPr>
        <w:t>Pinheiro, J., Bates, D., DebRoy, S., and D. Sarkar. nlme: Linear and nonlinear mixed effects models. R package version 3.1-137. https://cran.r-project.org/web/packages/nlme/index.html</w:t>
      </w:r>
    </w:p>
    <w:p w14:paraId="74A2C4C5" w14:textId="77777777" w:rsidR="00691373" w:rsidRPr="00446FBE" w:rsidRDefault="00691373" w:rsidP="00691373">
      <w:pPr>
        <w:spacing w:after="0" w:line="240" w:lineRule="auto"/>
        <w:rPr>
          <w:rFonts w:ascii="Times New Roman" w:hAnsi="Times New Roman" w:cs="Times New Roman"/>
          <w:sz w:val="11"/>
          <w:szCs w:val="13"/>
        </w:rPr>
      </w:pPr>
    </w:p>
    <w:p w14:paraId="2363B02E"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Powers, M.D., Pregitzer, K.S., Palik, B.J., and C.R. Webster. 2010. Wood δ</w:t>
      </w:r>
      <w:r w:rsidRPr="00446FBE">
        <w:rPr>
          <w:rFonts w:ascii="Times New Roman" w:hAnsi="Times New Roman" w:cs="Times New Roman"/>
          <w:sz w:val="11"/>
          <w:szCs w:val="13"/>
          <w:vertAlign w:val="superscript"/>
        </w:rPr>
        <w:t>13</w:t>
      </w:r>
      <w:r w:rsidRPr="00446FBE">
        <w:rPr>
          <w:rFonts w:ascii="Times New Roman" w:hAnsi="Times New Roman" w:cs="Times New Roman"/>
          <w:sz w:val="11"/>
          <w:szCs w:val="13"/>
        </w:rPr>
        <w:t>C, δ</w:t>
      </w:r>
      <w:r w:rsidRPr="00446FBE">
        <w:rPr>
          <w:rFonts w:ascii="Times New Roman" w:hAnsi="Times New Roman" w:cs="Times New Roman"/>
          <w:sz w:val="11"/>
          <w:szCs w:val="13"/>
          <w:vertAlign w:val="superscript"/>
        </w:rPr>
        <w:t>18</w:t>
      </w:r>
      <w:r w:rsidRPr="00446FBE">
        <w:rPr>
          <w:rFonts w:ascii="Times New Roman" w:hAnsi="Times New Roman" w:cs="Times New Roman"/>
          <w:sz w:val="11"/>
          <w:szCs w:val="13"/>
        </w:rPr>
        <w:t xml:space="preserve">O and radial growth responses of residual red pine to variable retention harvesting. </w:t>
      </w:r>
      <w:r w:rsidRPr="00446FBE">
        <w:rPr>
          <w:rFonts w:ascii="Times New Roman" w:hAnsi="Times New Roman" w:cs="Times New Roman"/>
          <w:i/>
          <w:sz w:val="11"/>
          <w:szCs w:val="13"/>
        </w:rPr>
        <w:t>Tree Phys.</w:t>
      </w:r>
      <w:r w:rsidRPr="00446FBE">
        <w:rPr>
          <w:rFonts w:ascii="Times New Roman" w:hAnsi="Times New Roman" w:cs="Times New Roman"/>
          <w:sz w:val="11"/>
          <w:szCs w:val="13"/>
        </w:rPr>
        <w:t xml:space="preserve"> 30: 326-334</w:t>
      </w:r>
    </w:p>
    <w:p w14:paraId="426A9CDE" w14:textId="77777777" w:rsidR="00691373" w:rsidRPr="00446FBE" w:rsidRDefault="00691373" w:rsidP="00691373">
      <w:pPr>
        <w:spacing w:after="0" w:line="240" w:lineRule="auto"/>
        <w:rPr>
          <w:rFonts w:ascii="Times New Roman" w:hAnsi="Times New Roman" w:cs="Times New Roman"/>
          <w:sz w:val="11"/>
          <w:szCs w:val="13"/>
        </w:rPr>
      </w:pPr>
    </w:p>
    <w:p w14:paraId="0F10C76B"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 xml:space="preserve">Ripullone, F., Lauteri, M., Grassi, G., Amato, M., and Borghetti, M. 2004. Variation in nitrogen supply changes water-use efficiency of Pseudotsuga menziesii and Populus x euroamericana; a comparison of three approaches to determine water-use efficiency. Tree Physiology: 671-679. </w:t>
      </w:r>
    </w:p>
    <w:p w14:paraId="11BF1463" w14:textId="77777777" w:rsidR="00691373" w:rsidRPr="00446FBE" w:rsidRDefault="00691373" w:rsidP="00691373">
      <w:pPr>
        <w:spacing w:after="0" w:line="240" w:lineRule="auto"/>
        <w:rPr>
          <w:rFonts w:ascii="Times New Roman" w:hAnsi="Times New Roman" w:cs="Times New Roman"/>
          <w:sz w:val="11"/>
          <w:szCs w:val="13"/>
        </w:rPr>
      </w:pPr>
    </w:p>
    <w:p w14:paraId="6A7DDC80"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Running, S.W., Coughlan, J.C., 1988. A general model of forest ecosystem processes for regional applications. I. Hydrologic balance, canopy gas exchange and primary production processes. Ecological Modeling 42: 125–154</w:t>
      </w:r>
    </w:p>
    <w:p w14:paraId="7980FFBA" w14:textId="77777777" w:rsidR="00691373" w:rsidRPr="00446FBE" w:rsidRDefault="00691373" w:rsidP="00691373">
      <w:pPr>
        <w:spacing w:after="0" w:line="240" w:lineRule="auto"/>
        <w:rPr>
          <w:rFonts w:ascii="Times New Roman" w:hAnsi="Times New Roman" w:cs="Times New Roman"/>
          <w:sz w:val="11"/>
          <w:szCs w:val="13"/>
        </w:rPr>
      </w:pPr>
    </w:p>
    <w:p w14:paraId="64DF6B9E"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Stegemoellar, K. A., and Chappell, H. N. 1990. Growth response of unthinned and thinned Douglas-fir stands to single and multiple applications of nitrogen. Can. J. For. Res. 20: 343-349.</w:t>
      </w:r>
    </w:p>
    <w:p w14:paraId="6A307FB6" w14:textId="77777777" w:rsidR="00691373" w:rsidRPr="00446FBE" w:rsidRDefault="00691373" w:rsidP="00691373">
      <w:pPr>
        <w:spacing w:after="0" w:line="240" w:lineRule="auto"/>
        <w:rPr>
          <w:rFonts w:ascii="Times New Roman" w:hAnsi="Times New Roman" w:cs="Times New Roman"/>
          <w:sz w:val="11"/>
          <w:szCs w:val="13"/>
        </w:rPr>
      </w:pPr>
    </w:p>
    <w:p w14:paraId="61A057DC"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Steinbrenner, E. 1979. Forest soil productivity relationships. In Forest soils of the Douglas-fir region. Edited by P. Heilman, H. Anderson, and D. Barmgartner. Washington State University, Cooperative Ext. Service, Pullman, Washington. pp. 199–229.</w:t>
      </w:r>
    </w:p>
    <w:p w14:paraId="5F577E98" w14:textId="77777777" w:rsidR="00691373" w:rsidRPr="00446FBE" w:rsidRDefault="00691373" w:rsidP="00691373">
      <w:pPr>
        <w:spacing w:after="0" w:line="240" w:lineRule="auto"/>
        <w:rPr>
          <w:rFonts w:ascii="Times New Roman" w:hAnsi="Times New Roman" w:cs="Times New Roman"/>
          <w:sz w:val="11"/>
          <w:szCs w:val="13"/>
        </w:rPr>
      </w:pPr>
    </w:p>
    <w:p w14:paraId="3AA067BC" w14:textId="77777777" w:rsidR="00691373" w:rsidRPr="00446FBE" w:rsidRDefault="00691373" w:rsidP="00691373">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Strand R.F. and DeBell D.S. 1979. Growth response to fertilization in relation to stocking levels of Douglas-fir. In Regional Forest Nutrition Research Project Vol III. Proceedings from the 1979 Forest Fertilization Conference. Edited by S.P. Gessel, R.M. Kenady, and W.A. Atkinson. University of Washington, College of Forest Resources. Alderbrook Inn Union, Washington. pp. 102-10</w:t>
      </w:r>
    </w:p>
    <w:p w14:paraId="36B85AF5" w14:textId="77777777" w:rsidR="00691373" w:rsidRPr="00446FBE" w:rsidRDefault="00691373" w:rsidP="00691373">
      <w:pPr>
        <w:spacing w:after="0" w:line="240" w:lineRule="auto"/>
        <w:rPr>
          <w:rFonts w:ascii="Times New Roman" w:hAnsi="Times New Roman" w:cs="Times New Roman"/>
          <w:sz w:val="11"/>
          <w:szCs w:val="13"/>
        </w:rPr>
      </w:pPr>
    </w:p>
    <w:p w14:paraId="598643AA" w14:textId="77777777" w:rsidR="00625F72" w:rsidRPr="0051421B" w:rsidRDefault="00691373" w:rsidP="0051421B">
      <w:pPr>
        <w:spacing w:after="0" w:line="240" w:lineRule="auto"/>
        <w:rPr>
          <w:rFonts w:ascii="Times New Roman" w:hAnsi="Times New Roman" w:cs="Times New Roman"/>
          <w:sz w:val="11"/>
          <w:szCs w:val="13"/>
        </w:rPr>
      </w:pPr>
      <w:r w:rsidRPr="00446FBE">
        <w:rPr>
          <w:rFonts w:ascii="Times New Roman" w:hAnsi="Times New Roman" w:cs="Times New Roman"/>
          <w:sz w:val="11"/>
          <w:szCs w:val="13"/>
        </w:rPr>
        <w:t>Warren, C.R., McGrath, J.F., and M.A. Adams. 2001. Water availability and carbon isotope discrimination in conifers. Oecologia. 127: 476-486</w:t>
      </w:r>
    </w:p>
    <w:sectPr w:rsidR="00625F72" w:rsidRPr="00514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BF8"/>
    <w:multiLevelType w:val="hybridMultilevel"/>
    <w:tmpl w:val="F5F084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86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73"/>
    <w:rsid w:val="0012169F"/>
    <w:rsid w:val="00475701"/>
    <w:rsid w:val="0051421B"/>
    <w:rsid w:val="00691373"/>
    <w:rsid w:val="009A4B87"/>
    <w:rsid w:val="00A100BF"/>
    <w:rsid w:val="00BE0FCC"/>
    <w:rsid w:val="00CA5E7D"/>
    <w:rsid w:val="00E92EA3"/>
    <w:rsid w:val="00FF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0D45"/>
  <w15:chartTrackingRefBased/>
  <w15:docId w15:val="{2A60B240-6C68-4072-8F32-6DDABF7E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3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373"/>
    <w:pPr>
      <w:ind w:left="720"/>
      <w:contextualSpacing/>
    </w:pPr>
  </w:style>
  <w:style w:type="table" w:styleId="TableGrid">
    <w:name w:val="Table Grid"/>
    <w:basedOn w:val="TableNormal"/>
    <w:uiPriority w:val="59"/>
    <w:rsid w:val="0069137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Premer</dc:creator>
  <cp:keywords/>
  <dc:description/>
  <cp:lastModifiedBy>Mike Premer</cp:lastModifiedBy>
  <cp:revision>2</cp:revision>
  <dcterms:created xsi:type="dcterms:W3CDTF">2022-12-28T18:47:00Z</dcterms:created>
  <dcterms:modified xsi:type="dcterms:W3CDTF">2022-12-28T18:47:00Z</dcterms:modified>
</cp:coreProperties>
</file>