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76" w:lineRule="auto"/>
      </w:pPr>
      <w:r>
        <w:rPr>
          <w:rFonts w:ascii="Times New Roman" w:hAnsi="Times New Roman"/>
          <w:b w:val="0"/>
          <w:i/>
          <w:color w:val="102A43"/>
          <w:sz w:val="24"/>
        </w:rPr>
        <w:t>Руководителю образовательной организации</w:t>
      </w:r>
    </w:p>
    <w:p>
      <w:pPr>
        <w:spacing w:after="120" w:line="276" w:lineRule="auto"/>
      </w:pPr>
      <w:r>
        <w:rPr>
          <w:rFonts w:ascii="Times New Roman" w:hAnsi="Times New Roman"/>
          <w:b w:val="0"/>
          <w:i w:val="0"/>
          <w:color w:val="102A43"/>
          <w:sz w:val="24"/>
        </w:rPr>
      </w:r>
    </w:p>
    <w:p>
      <w:pPr>
        <w:spacing w:after="200" w:line="276" w:lineRule="auto"/>
        <w:jc w:val="center"/>
      </w:pPr>
      <w:r>
        <w:rPr>
          <w:rFonts w:ascii="Times New Roman" w:hAnsi="Times New Roman"/>
          <w:b/>
          <w:i w:val="0"/>
          <w:color w:val="102A43"/>
          <w:sz w:val="32"/>
        </w:rPr>
        <w:t>О платформе «Анализ ГИА»</w:t>
      </w:r>
    </w:p>
    <w:p>
      <w:pPr>
        <w:spacing w:after="120" w:line="276" w:lineRule="auto"/>
      </w:pPr>
      <w:r>
        <w:rPr>
          <w:rFonts w:ascii="Times New Roman" w:hAnsi="Times New Roman"/>
          <w:b w:val="0"/>
          <w:i w:val="0"/>
          <w:color w:val="102A43"/>
          <w:sz w:val="24"/>
        </w:rPr>
        <w:t>Платформа «Анализ ГИА» — российский веб‑сервис аналитики протоколов ЕГЭ, ОГЭ и ВПР. Школа загружает свои протоколы и получает аналитические справки в личном кабинете. Данные другой образовательной организации школа не видит.</w:t>
      </w:r>
    </w:p>
    <w:p>
      <w:pPr>
        <w:spacing w:after="120" w:line="276" w:lineRule="auto"/>
      </w:pPr>
      <w:r>
        <w:rPr>
          <w:rFonts w:ascii="Times New Roman" w:hAnsi="Times New Roman"/>
          <w:b w:val="0"/>
          <w:i w:val="0"/>
          <w:color w:val="102A43"/>
          <w:sz w:val="24"/>
        </w:rPr>
        <w:t>Исполнитель — физическое лицо Пихаев Амур Адланович, ИНН 201005220670, плательщик налога на профессиональный доход (самозанятый). Самозанятый является физическим лицом: отдельное ООО или ИП для заключения договора со школой не требуется. Образовательная организация вправе приобретать доступ к платформе у физического лица по договору возмездного оказания услуг.</w:t>
      </w:r>
    </w:p>
    <w:p>
      <w:pPr>
        <w:spacing w:after="120" w:line="276" w:lineRule="auto"/>
      </w:pPr>
      <w:r>
        <w:rPr>
          <w:rFonts w:ascii="Times New Roman" w:hAnsi="Times New Roman"/>
          <w:b w:val="0"/>
          <w:i w:val="0"/>
          <w:color w:val="102A43"/>
          <w:sz w:val="24"/>
        </w:rPr>
        <w:t>Школа покупает доступ к личному кабинету на 5 (пять) лет, а не исключительные права на программу и не исходный код. При наличии чека из приложения «Мой налог» на ИНН школы Заказчик не удерживает НДФЛ и не начисляет страховые взносы на сумму вознаграждения Исполнителя.</w:t>
      </w:r>
    </w:p>
    <w:p>
      <w:pPr>
        <w:spacing w:after="120" w:line="276" w:lineRule="auto"/>
      </w:pPr>
      <w:r>
        <w:rPr>
          <w:rFonts w:ascii="Times New Roman" w:hAnsi="Times New Roman"/>
          <w:b w:val="0"/>
          <w:i w:val="0"/>
          <w:color w:val="102A43"/>
          <w:sz w:val="24"/>
        </w:rPr>
        <w:t>Серверы находятся в Российской Федерации. Обработка персональных данных обучающихся ведётся по поручению школы в рамках Федерального закона № 152‑ФЗ. Политика обработки персональных данных опубликована: https://analizgia.ru/legal/privacy/</w:t>
      </w:r>
    </w:p>
    <w:p>
      <w:pPr>
        <w:spacing w:after="120" w:line="276" w:lineRule="auto"/>
      </w:pPr>
      <w:r>
        <w:rPr>
          <w:rFonts w:ascii="Times New Roman" w:hAnsi="Times New Roman"/>
          <w:b w:val="0"/>
          <w:i w:val="0"/>
          <w:color w:val="102A43"/>
          <w:sz w:val="24"/>
        </w:rPr>
        <w:t>Лицензия на образовательную деятельность и аттестат ФСТЭК для данного класса систем не требуются: сервис не реализует образовательную программу и не является государственной информационной системой.</w:t>
      </w:r>
    </w:p>
    <w:p>
      <w:pPr>
        <w:spacing w:after="120" w:line="276" w:lineRule="auto"/>
      </w:pPr>
      <w:r>
        <w:rPr>
          <w:rFonts w:ascii="Times New Roman" w:hAnsi="Times New Roman"/>
          <w:b w:val="0"/>
          <w:i w:val="0"/>
          <w:color w:val="102A43"/>
          <w:sz w:val="24"/>
        </w:rPr>
        <w:t>Регистрация программы для ЭВМ в Роспатенте оформляется. Копия свидетельства будет направлена после выдачи.</w:t>
      </w:r>
    </w:p>
    <w:p>
      <w:pPr>
        <w:spacing w:after="120" w:line="276" w:lineRule="auto"/>
      </w:pPr>
      <w:r>
        <w:rPr>
          <w:rFonts w:ascii="Times New Roman" w:hAnsi="Times New Roman"/>
          <w:b w:val="0"/>
          <w:i w:val="0"/>
          <w:color w:val="102A43"/>
          <w:sz w:val="24"/>
        </w:rPr>
        <w:t>К письму прилагаются: описание платформы, справка о мерах защиты, проект договора, памятка для бухгалтерии.</w:t>
      </w:r>
    </w:p>
    <w:p>
      <w:pPr>
        <w:spacing w:after="120" w:line="276" w:lineRule="auto"/>
      </w:pPr>
      <w:r>
        <w:rPr>
          <w:rFonts w:ascii="Times New Roman" w:hAnsi="Times New Roman"/>
          <w:b w:val="0"/>
          <w:i w:val="0"/>
          <w:color w:val="102A43"/>
          <w:sz w:val="24"/>
        </w:rPr>
      </w:r>
    </w:p>
    <w:p>
      <w:pPr>
        <w:spacing w:after="120" w:line="276" w:lineRule="auto"/>
      </w:pPr>
      <w:r>
        <w:rPr>
          <w:rFonts w:ascii="Times New Roman" w:hAnsi="Times New Roman"/>
          <w:b w:val="0"/>
          <w:i w:val="0"/>
          <w:color w:val="102A43"/>
          <w:sz w:val="24"/>
        </w:rPr>
        <w:t>Пихаев Амур Адланович</w:t>
      </w:r>
    </w:p>
    <w:p>
      <w:pPr>
        <w:spacing w:after="120" w:line="276" w:lineRule="auto"/>
      </w:pPr>
      <w:r>
        <w:rPr>
          <w:rFonts w:ascii="Times New Roman" w:hAnsi="Times New Roman"/>
          <w:b w:val="0"/>
          <w:i w:val="0"/>
          <w:color w:val="102A43"/>
          <w:sz w:val="24"/>
        </w:rPr>
        <w:t>ИНН 201005220670</w:t>
      </w:r>
    </w:p>
    <w:p>
      <w:pPr>
        <w:spacing w:after="120" w:line="276" w:lineRule="auto"/>
      </w:pPr>
      <w:r>
        <w:rPr>
          <w:rFonts w:ascii="Times New Roman" w:hAnsi="Times New Roman"/>
          <w:b w:val="0"/>
          <w:i w:val="0"/>
          <w:color w:val="102A43"/>
          <w:sz w:val="24"/>
        </w:rPr>
        <w:t>Pikhaev1988@yandex.ru</w:t>
      </w:r>
    </w:p>
    <w:p>
      <w:pPr>
        <w:spacing w:after="120" w:line="276" w:lineRule="auto"/>
      </w:pPr>
      <w:r>
        <w:rPr>
          <w:rFonts w:ascii="Times New Roman" w:hAnsi="Times New Roman"/>
          <w:b w:val="0"/>
          <w:i w:val="0"/>
          <w:color w:val="102A43"/>
          <w:sz w:val="24"/>
        </w:rPr>
        <w:t>https://analizgia.ru</w:t>
      </w:r>
    </w:p>
    <w:sectPr w:rsidR="00FC693F" w:rsidRPr="0006063C" w:rsidSect="00034616">
      <w:pgSz w:w="12240" w:h="15840"/>
      <w:pgMar w:top="1020" w:right="1020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 w:eastAsia="Times New Roman"/>
      <w:color w:val="102A43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