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276" w:lineRule="auto"/>
        <w:jc w:val="center"/>
      </w:pPr>
      <w:r>
        <w:rPr>
          <w:rFonts w:ascii="Times New Roman" w:hAnsi="Times New Roman"/>
          <w:b/>
          <w:i w:val="0"/>
          <w:color w:val="102A43"/>
          <w:sz w:val="32"/>
        </w:rPr>
        <w:t>Памятка для бухгалтерии образовательной организации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/>
          <w:color w:val="102A43"/>
          <w:sz w:val="24"/>
        </w:rPr>
        <w:t>Закупка доступа к платформе «Анализ ГИА» у физического лица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 w:val="0"/>
          <w:color w:val="102A43"/>
          <w:sz w:val="24"/>
        </w:rPr>
        <w:t>Пихаев Амур Адланович, ИНН 201005220670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1. Можно ли заключать договор с физлицом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Да. Исполнитель — физическое лицо, плательщик налога на профессиональный доход (самозанятый). Он не является ИП и не является юридическим лицом. Образовательная организация вправе приобретать у него услуги по договору возмездного оказания услуг. Отдельное ООО на стороне исполнителя не требуется.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2. Что покупает школа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Школа покупает доступ к личному кабинету на 5 лет. Исключительные права на программу и исходный код школе не передаются.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3. Налоги и взносы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НДС не выделяется. При получении чека из приложения «Мой налог» на ИНН школы Заказчик не удерживает НДФЛ с вознаграждения исполнителя и не начисляет страховые взносы. Чек подтверждает, что налог исполнитель платит сам.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4. Какой комплект закрывает расход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Договор оказания услуг; приложение — поручение на обработку персональных данных; акт оказанных услуг; чек «Мой налог» (покупатель — юридическое лицо, ИНН школы).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5. Оплата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Предпочтителен безналичный перевод (в том числе через казначейство) на реквизиты, которые исполнитель укажет для расчёта. Наличная оплата допустима, если это позволяет порядок расчётов Заказчика; чек «Мой налог» обязателен в момент расчёта в любом случае.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6. Контакты исполнителя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Пихаев Амур Адланович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ИНН 201005220670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Pikhaev1988@yandex.ru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https://analizgia.ru</w:t>
      </w:r>
    </w:p>
    <w:sectPr w:rsidR="00FC693F" w:rsidRPr="0006063C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color w:val="102A4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