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77777777" w:rsidR="00461893" w:rsidRDefault="00461893" w:rsidP="00F47CF5">
      <w:pPr>
        <w:rPr>
          <w:b/>
        </w:rPr>
      </w:pPr>
      <w:r w:rsidRPr="00461893">
        <w:rPr>
          <w:b/>
        </w:rPr>
        <w:t>A0172868M-A0171426J-A0168355W-A0164816Y</w:t>
      </w:r>
    </w:p>
    <w:p w14:paraId="2FF3C342" w14:textId="169BF72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4FAFA1AD"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p>
    <w:p w14:paraId="25C90C11" w14:textId="397EC330" w:rsidR="00F47CF5" w:rsidRDefault="00F47CF5" w:rsidP="00F47CF5">
      <w:r>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w:t>
      </w:r>
      <w:r>
        <w:lastRenderedPageBreak/>
        <w:t xml:space="preserve">dimension of the vector was the size of the entire dictionary. Furthermore, even after computing the centroid vector, there will </w:t>
      </w:r>
      <w:proofErr w:type="gramStart"/>
      <w:r>
        <w:t>still remain</w:t>
      </w:r>
      <w:proofErr w:type="gramEnd"/>
      <w:r>
        <w:t xml:space="preserve">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605BFB">
      <w:pPr>
        <w:pStyle w:val="Heading3"/>
        <w:rPr>
          <w:b/>
        </w:rPr>
      </w:pPr>
      <w:r w:rsidRPr="00605BFB">
        <w:rPr>
          <w:b/>
        </w:rPr>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6A69BAB5" w:rsidR="005E6EEA" w:rsidRDefault="005E6EEA" w:rsidP="005E6EEA">
      <w:pPr>
        <w:pStyle w:val="Heading3"/>
        <w:rPr>
          <w:b/>
        </w:rPr>
      </w:pPr>
      <w:r w:rsidRPr="005E6EEA">
        <w:rPr>
          <w:b/>
        </w:rPr>
        <w:t>APPROACHING BASELINE</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112DF09" w14:textId="77777777" w:rsidR="00F47CF5" w:rsidRDefault="00F47CF5" w:rsidP="00F47CF5"/>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lastRenderedPageBreak/>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10AF1173"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bookmarkStart w:id="0" w:name="_GoBack"/>
            <w:bookmarkEnd w:id="0"/>
          </w:p>
        </w:tc>
      </w:tr>
    </w:tbl>
    <w:p w14:paraId="1C5EFCE3" w14:textId="6A847211" w:rsidR="000015FF" w:rsidRDefault="000015FF" w:rsidP="000015FF"/>
    <w:p w14:paraId="55214427" w14:textId="4EAACE1D" w:rsidR="000015FF" w:rsidRDefault="000015FF" w:rsidP="000015FF">
      <w:r>
        <w:t>5 Only</w:t>
      </w:r>
    </w:p>
    <w:p w14:paraId="6DF5F98C" w14:textId="77777777" w:rsidR="000015FF" w:rsidRDefault="000015FF" w:rsidP="000015FF">
      <w:r>
        <w:t>Q1 Average F2: 0.00198346589850713</w:t>
      </w:r>
    </w:p>
    <w:p w14:paraId="10735DC8" w14:textId="77777777" w:rsidR="000015FF" w:rsidRDefault="000015FF" w:rsidP="000015FF">
      <w:r>
        <w:t>Q2 Average F2: 0.00152853996309595</w:t>
      </w:r>
    </w:p>
    <w:p w14:paraId="34E1871E" w14:textId="77777777" w:rsidR="000015FF" w:rsidRDefault="000015FF" w:rsidP="000015FF">
      <w:r>
        <w:t>Q3 Average F2: 0.00111074417157611</w:t>
      </w:r>
    </w:p>
    <w:p w14:paraId="4B094BFC" w14:textId="77777777" w:rsidR="000015FF" w:rsidRDefault="000015FF" w:rsidP="000015FF">
      <w:r>
        <w:t>Q4 Average F2: 0.00148902389641845</w:t>
      </w:r>
    </w:p>
    <w:p w14:paraId="3EB4E454" w14:textId="77777777" w:rsidR="000015FF" w:rsidRDefault="000015FF" w:rsidP="000015FF">
      <w:r>
        <w:t>Q5 Average F2: 0.00166292668856411</w:t>
      </w:r>
    </w:p>
    <w:p w14:paraId="3CA845EE" w14:textId="77777777" w:rsidR="000015FF" w:rsidRDefault="000015FF" w:rsidP="000015FF">
      <w:r>
        <w:t>Q6 Average F2: 0.000682437441147597</w:t>
      </w:r>
    </w:p>
    <w:p w14:paraId="426F1348" w14:textId="1E8F8604" w:rsidR="000015FF" w:rsidRDefault="000015FF" w:rsidP="000015FF">
      <w:r>
        <w:t>Mean Average F2: 0.00140952300988489</w:t>
      </w:r>
    </w:p>
    <w:sectPr w:rsidR="00001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F7338" w14:textId="77777777" w:rsidR="009664CA" w:rsidRDefault="009664CA" w:rsidP="00461893">
      <w:pPr>
        <w:spacing w:after="0" w:line="240" w:lineRule="auto"/>
      </w:pPr>
      <w:r>
        <w:separator/>
      </w:r>
    </w:p>
  </w:endnote>
  <w:endnote w:type="continuationSeparator" w:id="0">
    <w:p w14:paraId="6EBCC158" w14:textId="77777777" w:rsidR="009664CA" w:rsidRDefault="009664CA"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8BE96" w14:textId="77777777" w:rsidR="009664CA" w:rsidRDefault="009664CA" w:rsidP="00461893">
      <w:pPr>
        <w:spacing w:after="0" w:line="240" w:lineRule="auto"/>
      </w:pPr>
      <w:r>
        <w:separator/>
      </w:r>
    </w:p>
  </w:footnote>
  <w:footnote w:type="continuationSeparator" w:id="0">
    <w:p w14:paraId="526D2AE6" w14:textId="77777777" w:rsidR="009664CA" w:rsidRDefault="009664CA"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7393"/>
    <w:rsid w:val="002063DC"/>
    <w:rsid w:val="004361B9"/>
    <w:rsid w:val="00461893"/>
    <w:rsid w:val="00582E08"/>
    <w:rsid w:val="005874E0"/>
    <w:rsid w:val="005E6EEA"/>
    <w:rsid w:val="00605BFB"/>
    <w:rsid w:val="00675AAE"/>
    <w:rsid w:val="00756B32"/>
    <w:rsid w:val="007613D8"/>
    <w:rsid w:val="00774504"/>
    <w:rsid w:val="00791F22"/>
    <w:rsid w:val="007C0A6B"/>
    <w:rsid w:val="007E09E0"/>
    <w:rsid w:val="0083391A"/>
    <w:rsid w:val="00866F26"/>
    <w:rsid w:val="00896CAE"/>
    <w:rsid w:val="009664CA"/>
    <w:rsid w:val="009803AB"/>
    <w:rsid w:val="009B5048"/>
    <w:rsid w:val="009D3831"/>
    <w:rsid w:val="00A57155"/>
    <w:rsid w:val="00AA0D4B"/>
    <w:rsid w:val="00C83BC7"/>
    <w:rsid w:val="00D479BD"/>
    <w:rsid w:val="00D639CB"/>
    <w:rsid w:val="00E06126"/>
    <w:rsid w:val="00E20E41"/>
    <w:rsid w:val="00EA53EC"/>
    <w:rsid w:val="00EA78F1"/>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E6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5E6E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9157-CAD5-4C6C-B0E7-F439C3B4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29</cp:revision>
  <dcterms:created xsi:type="dcterms:W3CDTF">2019-04-21T04:28:00Z</dcterms:created>
  <dcterms:modified xsi:type="dcterms:W3CDTF">2019-04-21T05:52:00Z</dcterms:modified>
</cp:coreProperties>
</file>