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28897" w14:textId="6CD50900" w:rsidR="001E569A" w:rsidRDefault="00075BC7">
      <w:r>
        <w:t>Índice</w:t>
      </w:r>
    </w:p>
    <w:p w14:paraId="6ABF2497" w14:textId="77777777" w:rsidR="00075BC7" w:rsidRDefault="00075BC7"/>
    <w:sectPr w:rsidR="00075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9A"/>
    <w:rsid w:val="00075BC7"/>
    <w:rsid w:val="001E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5188"/>
  <w15:chartTrackingRefBased/>
  <w15:docId w15:val="{B7FBA8D3-C19C-49EF-833E-A514B16D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Cortes Cruz</dc:creator>
  <cp:keywords/>
  <dc:description/>
  <cp:lastModifiedBy>Pilar Cortes Cruz</cp:lastModifiedBy>
  <cp:revision>2</cp:revision>
  <dcterms:created xsi:type="dcterms:W3CDTF">2020-06-14T16:33:00Z</dcterms:created>
  <dcterms:modified xsi:type="dcterms:W3CDTF">2020-06-14T16:33:00Z</dcterms:modified>
</cp:coreProperties>
</file>