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 w:line="240" w:lineRule="auto"/>
      </w:pPr>
      <w:r>
        <w:rPr>
          <w:rFonts w:ascii="Calibri" w:hAnsi="Calibri"/>
          <w:b/>
          <w:color w:val="000000"/>
          <w:sz w:val="46"/>
        </w:rPr>
        <w:t>RELATORIO EXECUTIVO</w:t>
      </w:r>
    </w:p>
    <w:p>
      <w:pPr>
        <w:spacing w:before="0" w:after="320" w:line="264" w:lineRule="auto"/>
      </w:pPr>
      <w:r>
        <w:rPr>
          <w:rFonts w:ascii="Calibri" w:hAnsi="Calibri"/>
          <w:color w:val="59636E"/>
          <w:sz w:val="28"/>
        </w:rPr>
        <w:t>Uso financeiro e administrativo da plataforma Pilger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Para: </w:t>
      </w:r>
      <w:r>
        <w:rPr>
          <w:rFonts w:ascii="Calibri" w:hAnsi="Calibri"/>
          <w:color w:val="141C26"/>
          <w:sz w:val="22"/>
        </w:rPr>
        <w:t>Amanda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Papel: </w:t>
      </w:r>
      <w:r>
        <w:rPr>
          <w:rFonts w:ascii="Calibri" w:hAnsi="Calibri"/>
          <w:color w:val="141C26"/>
          <w:sz w:val="22"/>
        </w:rPr>
        <w:t>Secretaria executiva e responsável pela rotina administrativa/financeira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Data: </w:t>
      </w:r>
      <w:r>
        <w:rPr>
          <w:rFonts w:ascii="Calibri" w:hAnsi="Calibri"/>
          <w:color w:val="141C26"/>
          <w:sz w:val="22"/>
        </w:rPr>
        <w:t>08 de junho de 2026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Assunto: </w:t>
      </w:r>
      <w:r>
        <w:rPr>
          <w:rFonts w:ascii="Calibri" w:hAnsi="Calibri"/>
          <w:color w:val="141C26"/>
          <w:sz w:val="22"/>
        </w:rPr>
        <w:t>Adoção da plataforma, proteção do investimento e rotina mínima de implantação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Status: </w:t>
      </w:r>
      <w:r>
        <w:rPr>
          <w:rFonts w:ascii="Calibri" w:hAnsi="Calibri"/>
          <w:color w:val="141C26"/>
          <w:sz w:val="22"/>
        </w:rPr>
        <w:t>Rotina mínima de alimentação necessária</w:t>
      </w:r>
    </w:p>
    <w:p>
      <w:pPr>
        <w:spacing w:before="200" w:after="280" w:line="264" w:lineRule="auto"/>
        <w:pBdr>
          <w:bottom w:val="single" w:sz="8" w:space="1" w:color="2E74B5"/>
        </w:pBdr>
      </w:pP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C8D6EA"/>
          <w:left w:val="single" w:sz="6" w:space="0" w:color="C8D6EA"/>
          <w:bottom w:val="single" w:sz="6" w:space="0" w:color="C8D6EA"/>
          <w:right w:val="single" w:sz="6" w:space="0" w:color="C8D6EA"/>
          <w:insideH w:val="single" w:sz="6" w:space="0" w:color="C8D6EA"/>
          <w:insideV w:val="single" w:sz="6" w:space="0" w:color="C8D6EA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Resumo em uma frase: </w:t>
            </w:r>
            <w:r>
              <w:rPr>
                <w:rFonts w:ascii="Calibri" w:hAnsi="Calibri"/>
                <w:color w:val="141C26"/>
                <w:sz w:val="21"/>
              </w:rPr>
              <w:t>o módulo financeiro só vira relatório, DRE, fluxo de caixa e controle de comissões quando os lançamentos entram na plataforma com regularidade.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C26"/>
          <w:sz w:val="22"/>
        </w:rPr>
        <w:t>Amanda, este relatório foi preparado para deixar claro o valor do sistema financeiro e administrativo, e também para simplificar o que precisa ser feito no dia a dia. A plataforma não precisa de uso complexo; ela precisa de consistência.</w:t>
      </w:r>
    </w:p>
    <w:p>
      <w:pPr>
        <w:pStyle w:val="Heading1"/>
      </w:pPr>
      <w:r>
        <w:t>1. O que já foi construído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C26"/>
          <w:sz w:val="22"/>
        </w:rPr>
        <w:t>A plataforma atual não é apenas uma landing page. Ela já funciona como uma base operacional digital para imobiliária, atendimento, marketing, financeiro, inteligência e agentes de 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680"/>
        <w:gridCol w:w="4680"/>
      </w:tblGrid>
      <w:tr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Área</w:t>
            </w:r>
          </w:p>
        </w:tc>
        <w:tc>
          <w:tcPr>
            <w:tcW w:type="dxa" w:w="6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Capacidade já disponível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Comercial e CRM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Leads, funil, origem do contato, score, status, corretor responsável, histórico e atividade do visitante.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WhatsApp com IA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Instâncias conectadas, agente configurável, agenda, campanhas, etiquetas, respostas rápidas, texto, áudio, mídia e intervenção humana.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Financeiro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Lançamentos, contas a pagar e receber, comissões, conciliação bancária, fechamento mensal, DRE, fluxo de caixa e relatórios por corretor.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Pilger AI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Agentes, organograma vivo, tarefas, aprovações, saúde dos agentes, eventos, logs e memória operacional compartilhada.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Marketing e conteúdo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Landing pages, imóveis, blog, notícias, tráfego pago, tráfego orgânico, criativos, push, email e distribuição editorial.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Inteligência e infraestrutura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Supabase, Vercel, Inngest, R2, UAZAPI, Meta, Google Ads/Analytics, OpenAI/Gemini, permissões e auditoria de acesso.</w:t>
            </w:r>
          </w:p>
        </w:tc>
      </w:tr>
    </w:tbl>
    <w:p>
      <w:pPr>
        <w:spacing w:after="80"/>
      </w:pPr>
    </w:p>
    <w:p>
      <w:pPr>
        <w:pStyle w:val="Heading1"/>
      </w:pPr>
      <w:r>
        <w:t>2. Benefício empresarial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Centralizar leads, conversas, corretores, marketing e financeiro em um mesmo ambiente.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Reduzir perda de oportunidade por falta de resposta, falta de follow-up ou dados espalhados.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Criar histórico, rastreabilidade e inteligência acumulada sobre clientes, campanhas, imóveis e operação.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Dar ao gestor uma visão real de funil, investimento, retorno e pendências.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Diminuir dependência de processos informais, planilhas soltas e memória individual.</w:t>
      </w:r>
    </w:p>
    <w:p>
      <w:pPr>
        <w:pStyle w:val="Heading1"/>
      </w:pPr>
      <w:r>
        <w:t>3. Risco central hoje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C8D6EA"/>
          <w:left w:val="single" w:sz="6" w:space="0" w:color="C8D6EA"/>
          <w:bottom w:val="single" w:sz="6" w:space="0" w:color="C8D6EA"/>
          <w:right w:val="single" w:sz="6" w:space="0" w:color="C8D6EA"/>
          <w:insideH w:val="single" w:sz="6" w:space="0" w:color="C8D6EA"/>
          <w:insideV w:val="single" w:sz="6" w:space="0" w:color="C8D6EA"/>
        </w:tblBorders>
      </w:tblPr>
      <w:tblGrid>
        <w:gridCol w:w="9360"/>
      </w:tblGrid>
      <w:tr>
        <w:tc>
          <w:tcPr>
            <w:tcW w:type="dxa" w:w="9360"/>
            <w:shd w:fill="FFF7D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Ponto principal: </w:t>
            </w:r>
            <w:r>
              <w:rPr>
                <w:rFonts w:ascii="Calibri" w:hAnsi="Calibri"/>
                <w:color w:val="141C26"/>
                <w:sz w:val="21"/>
              </w:rPr>
              <w:t>o maior risco atual não é técnico. O risco é a plataforma continuar sofisticada, porém subutilizada, rodando em uma base pequena e sem implantação consistente pela liderança operacional.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C26"/>
          <w:sz w:val="22"/>
        </w:rPr>
        <w:t>Quando uma plataforma desse tamanho fica sem dono operacional, o custo continua existindo, mas o retorno não aparece na mesma proporção. Isso transforma investimento em desgaste: manutenção, ajustes, reuniões, retrabalho e complexidade crescem enquanto a adoção real fica parada.</w:t>
      </w:r>
    </w:p>
    <w:p>
      <w:pPr>
        <w:pStyle w:val="Heading1"/>
      </w:pPr>
      <w:r>
        <w:t>4. Custo do atraso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C26"/>
          <w:sz w:val="22"/>
        </w:rPr>
        <w:t>O custo mensal real de uma plataforma parada não é apenas o valor pago ao desenvolvimento. Ele inclui infraestrutura, manutenção, suporte, retrabalho, oportunidades comerciais perdidas, dados não registrados e decisões tomadas sem informação confiável.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C8D6EA"/>
          <w:left w:val="single" w:sz="6" w:space="0" w:color="C8D6EA"/>
          <w:bottom w:val="single" w:sz="6" w:space="0" w:color="C8D6EA"/>
          <w:right w:val="single" w:sz="6" w:space="0" w:color="C8D6EA"/>
          <w:insideH w:val="single" w:sz="6" w:space="0" w:color="C8D6EA"/>
          <w:insideV w:val="single" w:sz="6" w:space="0" w:color="C8D6EA"/>
        </w:tblBorders>
      </w:tblPr>
      <w:tblGrid>
        <w:gridCol w:w="9360"/>
      </w:tblGrid>
      <w:tr>
        <w:tc>
          <w:tcPr>
            <w:tcW w:type="dxa" w:w="9360"/>
            <w:shd w:fill="FD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Fórmula prática: </w:t>
            </w:r>
            <w:r>
              <w:rPr>
                <w:rFonts w:ascii="Calibri" w:hAnsi="Calibri"/>
                <w:color w:val="141C26"/>
                <w:sz w:val="21"/>
              </w:rPr>
              <w:t>custo do mês parado = desenvolvimento + infraestrutura + manutenção + retrabalho + oportunidades perdidas + atraso de aprendizado da equipe.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C26"/>
          <w:sz w:val="22"/>
        </w:rPr>
        <w:t>A forma mais inteligente de reduzir esse custo não é abandonar o sistema. É colocar a rotina mínima de uso para fazer a tecnologia render.</w:t>
      </w:r>
    </w:p>
    <w:p>
      <w:pPr>
        <w:pStyle w:val="Heading1"/>
      </w:pPr>
      <w:r>
        <w:t>5. Por que sua rotina é crítica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C26"/>
          <w:sz w:val="22"/>
        </w:rPr>
        <w:t>O financeiro é o módulo que transforma operação em informação gerencial. Sem lançamentos, cadastros e conferência, a empresa continua dependendo de planilhas, memória e revisões manuais. Com a rotina mínima em dia, a plataforma passa a gerar relatórios úteis para decisão.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Lançamentos registram receitas, despesas e movimentações reais.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Contas a pagar e receber permitem prever caixa, vencimentos e pendências.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Comissões e relatórios por corretor ajudam a medir performance e pagamento.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DRE, fluxo de caixa, fechamento mensal e exportação contábil dependem dos dados lançados.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A separação entre PF e PJ só funciona se cada lançamento for marcado corretamente.</w:t>
      </w:r>
    </w:p>
    <w:p>
      <w:pPr>
        <w:pStyle w:val="Heading1"/>
      </w:pPr>
      <w:r>
        <w:t>6. Pedido objetivo</w:t>
      </w:r>
    </w:p>
    <w:p>
      <w:pPr>
        <w:pStyle w:val="ListNumber"/>
      </w:pPr>
      <w:r>
        <w:rPr>
          <w:rFonts w:ascii="Calibri" w:hAnsi="Calibri"/>
          <w:color w:val="141C26"/>
          <w:sz w:val="22"/>
        </w:rPr>
        <w:t>Reservar 15 a 20 minutos por dia para lançar e conferir movimentações.</w:t>
      </w:r>
    </w:p>
    <w:p>
      <w:pPr>
        <w:pStyle w:val="ListNumber"/>
      </w:pPr>
      <w:r>
        <w:rPr>
          <w:rFonts w:ascii="Calibri" w:hAnsi="Calibri"/>
          <w:color w:val="141C26"/>
          <w:sz w:val="22"/>
        </w:rPr>
        <w:t>Fazer uma revisão semanal de contas a pagar, contas a receber e pendências.</w:t>
      </w:r>
    </w:p>
    <w:p>
      <w:pPr>
        <w:pStyle w:val="ListNumber"/>
      </w:pPr>
      <w:r>
        <w:rPr>
          <w:rFonts w:ascii="Calibri" w:hAnsi="Calibri"/>
          <w:color w:val="141C26"/>
          <w:sz w:val="22"/>
        </w:rPr>
        <w:t>Manter entidades PF/PJ, favorecidos, categorias e formas de pagamento atualizados.</w:t>
      </w:r>
    </w:p>
    <w:p>
      <w:pPr>
        <w:pStyle w:val="ListNumber"/>
      </w:pPr>
      <w:r>
        <w:rPr>
          <w:rFonts w:ascii="Calibri" w:hAnsi="Calibri"/>
          <w:color w:val="141C26"/>
          <w:sz w:val="22"/>
        </w:rPr>
        <w:t>Sinalizar dúvidas ou bloqueios imediatamente, para não acumular atraso.</w:t>
      </w:r>
    </w:p>
    <w:p>
      <w:pPr>
        <w:pStyle w:val="Heading1"/>
      </w:pPr>
      <w:r>
        <w:t>Plano mínimo financeiro para os próximos 30 dias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120"/>
        <w:gridCol w:w="3120"/>
        <w:gridCol w:w="3120"/>
      </w:tblGrid>
      <w:t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Semana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Ação mínima</w:t>
            </w:r>
          </w:p>
        </w:tc>
        <w:tc>
          <w:tcPr>
            <w:tcW w:type="dxa" w:w="3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Resultado esperado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Atualizar cadastros principais: entidades, favorecidos, categorias e contas.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Base do financeiro organizada.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2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Registrar lançamentos recentes e separar PF/PJ corretamente.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DRE e fluxo começam a refletir a realidade.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3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Revisar contas a pagar, contas a receber e comissões.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Pendências deixam de ficar invisíveis.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4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Fechar a primeira rotina semanal e listar dúvidas.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Empresa passa a ter processo administrativo previsível.</w:t>
            </w:r>
          </w:p>
        </w:tc>
      </w:tr>
    </w:tbl>
    <w:p>
      <w:pPr>
        <w:spacing w:after="80"/>
      </w:pPr>
    </w:p>
    <w:p>
      <w:pPr>
        <w:pStyle w:val="Heading1"/>
      </w:pPr>
      <w:r>
        <w:t>Indicadores para provar avanço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680"/>
        <w:gridCol w:w="4680"/>
      </w:tblGrid>
      <w:t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Indicador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Por que importa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Lançamentos registrados por semana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Mostra se o financeiro está sendo alimentado.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Contas vencidas ou próximas do vencimento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Evita surpresa de caixa e atraso operacional.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Categorias e favorecidos completos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Melhora a qualidade dos relatórios.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Movimentos separados por PF/PJ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Permite leitura fiscal e gerencial correta.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Fechamento semanal realizado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Cria disciplina sem esperar o fim do mês.</w:t>
            </w:r>
          </w:p>
        </w:tc>
      </w:tr>
    </w:tbl>
    <w:p>
      <w:pPr>
        <w:spacing w:after="80"/>
      </w:pPr>
    </w:p>
    <w:p>
      <w:pPr>
        <w:pStyle w:val="Heading1"/>
      </w:pPr>
      <w:r>
        <w:t>Sugestão de abertura da conversa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C8D6EA"/>
          <w:left w:val="single" w:sz="6" w:space="0" w:color="C8D6EA"/>
          <w:bottom w:val="single" w:sz="6" w:space="0" w:color="C8D6EA"/>
          <w:right w:val="single" w:sz="6" w:space="0" w:color="C8D6EA"/>
          <w:insideH w:val="single" w:sz="6" w:space="0" w:color="C8D6EA"/>
          <w:insideV w:val="single" w:sz="6" w:space="0" w:color="C8D6EA"/>
        </w:tblBorders>
      </w:tblPr>
      <w:tblGrid>
        <w:gridCol w:w="9360"/>
      </w:tblGrid>
      <w:tr>
        <w:tc>
          <w:tcPr>
            <w:tcW w:type="dxa" w:w="9360"/>
            <w:shd w:fill="EAF7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Tom recomendado: </w:t>
            </w:r>
            <w:r>
              <w:rPr>
                <w:rFonts w:ascii="Calibri" w:hAnsi="Calibri"/>
                <w:color w:val="141C26"/>
                <w:sz w:val="21"/>
              </w:rPr>
              <w:t>estou entregando este relatório para proteger o investimento e transformar a plataforma em rotina. Não é uma cobrança pessoal; é um pedido de governança mínima para que o trabalho já feito gere resultado.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8"/>
      </w:rPr>
      <w:t>Uso interno - Plataforma Pilger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color w:val="59636E"/>
        <w:sz w:val="18"/>
      </w:rPr>
      <w:t>Relatorio executivo interno | Amanda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41C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