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Dalyvių paieškos planas</w:t>
      </w:r>
    </w:p>
    <w:p>
      <w:pPr/>
      <w:r>
        <w:t xml:space="preserve">Pildykite seminaro metu, vienas lapas vienam projektui. Skaičiai iš INFODEMIJA apklausos (2024 m., N = 1 005).</w:t>
      </w:r>
    </w:p>
    <w:p>
      <w:pPr>
        <w:pStyle w:val="Heading2"/>
      </w:pPr>
      <w:r>
        <w:t xml:space="preserve">Atmintinė</w:t>
      </w:r>
    </w:p>
    <w:p>
      <w:pPr/>
      <w:r>
        <w:t xml:space="preserve">Trys iš keturių norinčiųjų dalyvauti (74,4 %) yra mokslo entuziastai, o 19,0 % gyventojų svyruoja.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Segmentas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Gyventojų dalis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Norėtų dalyvauti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Nei taip, nei ne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Apie mokslą dažnai sužino per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Kaip pasiekti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Mokslo entuziastai</w:t>
            </w:r>
          </w:p>
        </w:tc>
        <w:tc>
          <w:tcPr>
            <w:tcW w:w="1560" w:type="dxa"/>
          </w:tcPr>
          <w:p>
            <w:pPr/>
            <w:r>
              <w:t xml:space="preserve">30,2 %</w:t>
            </w:r>
          </w:p>
        </w:tc>
        <w:tc>
          <w:tcPr>
            <w:tcW w:w="1560" w:type="dxa"/>
          </w:tcPr>
          <w:p>
            <w:pPr/>
            <w:r>
              <w:t xml:space="preserve">44,9 %</w:t>
            </w:r>
          </w:p>
        </w:tc>
        <w:tc>
          <w:tcPr>
            <w:tcW w:w="1560" w:type="dxa"/>
          </w:tcPr>
          <w:p>
            <w:pPr/>
            <w:r>
              <w:t xml:space="preserve">22,8 %</w:t>
            </w:r>
          </w:p>
        </w:tc>
        <w:tc>
          <w:tcPr>
            <w:tcW w:w="1560" w:type="dxa"/>
          </w:tcPr>
          <w:p>
            <w:pPr/>
            <w:r>
              <w:t xml:space="preserve">„YouTube“ 46,4 %, pažintines TV 44,6 %, naujienų portalus 43,5 %</w:t>
            </w:r>
          </w:p>
        </w:tc>
        <w:tc>
          <w:tcPr>
            <w:tcW w:w="1560" w:type="dxa"/>
          </w:tcPr>
          <w:p>
            <w:pPr/>
            <w:r>
              <w:t xml:space="preserve">Lengviausiai; paprašykite pakviesti kitus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Nuosaikieji palaikytojai</w:t>
            </w:r>
          </w:p>
        </w:tc>
        <w:tc>
          <w:tcPr>
            <w:tcW w:w="1560" w:type="dxa"/>
          </w:tcPr>
          <w:p>
            <w:pPr/>
            <w:r>
              <w:t xml:space="preserve">29,9 %</w:t>
            </w:r>
          </w:p>
        </w:tc>
        <w:tc>
          <w:tcPr>
            <w:tcW w:w="1560" w:type="dxa"/>
          </w:tcPr>
          <w:p>
            <w:pPr/>
            <w:r>
              <w:t xml:space="preserve">3,3 %</w:t>
            </w:r>
          </w:p>
        </w:tc>
        <w:tc>
          <w:tcPr>
            <w:tcW w:w="1560" w:type="dxa"/>
          </w:tcPr>
          <w:p>
            <w:pPr/>
            <w:r>
              <w:t xml:space="preserve">23,8 %</w:t>
            </w:r>
          </w:p>
        </w:tc>
        <w:tc>
          <w:tcPr>
            <w:tcW w:w="1560" w:type="dxa"/>
          </w:tcPr>
          <w:p>
            <w:pPr/>
            <w:r>
              <w:t xml:space="preserve">„YouTube“ 35,9 %, socialinius tinklus 32,6 %, naujienų portalus 28,6 %</w:t>
            </w:r>
          </w:p>
        </w:tc>
        <w:tc>
          <w:tcPr>
            <w:tcW w:w="1560" w:type="dxa"/>
          </w:tcPr>
          <w:p>
            <w:pPr/>
            <w:r>
              <w:t xml:space="preserve">Trumpa užduotis telefonu, parodyti rezultatus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Tylieji pasitikintieji</w:t>
            </w:r>
          </w:p>
        </w:tc>
        <w:tc>
          <w:tcPr>
            <w:tcW w:w="1560" w:type="dxa"/>
          </w:tcPr>
          <w:p>
            <w:pPr/>
            <w:r>
              <w:t xml:space="preserve">23,4 %</w:t>
            </w:r>
          </w:p>
        </w:tc>
        <w:tc>
          <w:tcPr>
            <w:tcW w:w="1560" w:type="dxa"/>
          </w:tcPr>
          <w:p>
            <w:pPr/>
            <w:r>
              <w:t xml:space="preserve">14,4 %</w:t>
            </w:r>
          </w:p>
        </w:tc>
        <w:tc>
          <w:tcPr>
            <w:tcW w:w="1560" w:type="dxa"/>
          </w:tcPr>
          <w:p>
            <w:pPr/>
            <w:r>
              <w:t xml:space="preserve">20,5 %</w:t>
            </w:r>
          </w:p>
        </w:tc>
        <w:tc>
          <w:tcPr>
            <w:tcW w:w="1560" w:type="dxa"/>
          </w:tcPr>
          <w:p>
            <w:pPr/>
            <w:r>
              <w:t xml:space="preserve">LRT televiziją 30,2 %, komercinę TV 22,0 %, radiją 15,4 %</w:t>
            </w:r>
          </w:p>
        </w:tc>
        <w:tc>
          <w:tcPr>
            <w:tcW w:w="1560" w:type="dxa"/>
          </w:tcPr>
          <w:p>
            <w:pPr/>
            <w:r>
              <w:t xml:space="preserve">Per bibliotekininkus, mokytojus, šeimos gydytojus, bendruomenių lyderius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Nutolę nuo mokslo</w:t>
            </w:r>
          </w:p>
        </w:tc>
        <w:tc>
          <w:tcPr>
            <w:tcW w:w="1560" w:type="dxa"/>
          </w:tcPr>
          <w:p>
            <w:pPr/>
            <w:r>
              <w:t xml:space="preserve">16,5 %</w:t>
            </w:r>
          </w:p>
        </w:tc>
        <w:tc>
          <w:tcPr>
            <w:tcW w:w="1560" w:type="dxa"/>
          </w:tcPr>
          <w:p>
            <w:pPr/>
            <w:r>
              <w:t xml:space="preserve">2,5 %</w:t>
            </w:r>
          </w:p>
        </w:tc>
        <w:tc>
          <w:tcPr>
            <w:tcW w:w="1560" w:type="dxa"/>
          </w:tcPr>
          <w:p>
            <w:pPr/>
            <w:r>
              <w:t xml:space="preserve">2,5 %</w:t>
            </w:r>
          </w:p>
        </w:tc>
        <w:tc>
          <w:tcPr>
            <w:tcW w:w="1560" w:type="dxa"/>
          </w:tcPr>
          <w:p>
            <w:pPr/>
            <w:r>
              <w:t xml:space="preserve">Komercinę TV 15,4 %, radiją 12,8 %, LRT 7,5 %</w:t>
            </w:r>
          </w:p>
        </w:tc>
        <w:tc>
          <w:tcPr>
            <w:tcW w:w="1560" w:type="dxa"/>
          </w:tcPr>
          <w:p>
            <w:pPr/>
            <w:r>
              <w:t xml:space="preserve">Per vietos partnerius, kalbant apie vietos problemą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Visi gyventojai</w:t>
            </w:r>
          </w:p>
        </w:tc>
        <w:tc>
          <w:tcPr>
            <w:tcW w:w="1560" w:type="dxa"/>
          </w:tcPr>
          <w:p>
            <w:pPr/>
            <w:r>
              <w:t xml:space="preserve">100 %</w:t>
            </w:r>
          </w:p>
        </w:tc>
        <w:tc>
          <w:tcPr>
            <w:tcW w:w="1560" w:type="dxa"/>
          </w:tcPr>
          <w:p>
            <w:pPr/>
            <w:r>
              <w:t xml:space="preserve">18,5 %</w:t>
            </w:r>
          </w:p>
        </w:tc>
        <w:tc>
          <w:tcPr>
            <w:tcW w:w="1560" w:type="dxa"/>
          </w:tcPr>
          <w:p>
            <w:pPr/>
            <w:r>
              <w:t xml:space="preserve">19,0 %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/>
      <w:r>
        <w:t xml:space="preserve">Procentai be svorių, „neižinau“ atsakymai neįtraukti. Šaltinis: </w:t>
      </w:r>
      <w:hyperlink r:id="rId3" w:history="1">
        <w:r>
          <w:rPr>
            <w:rStyle w:val="Hyperlink"/>
          </w:rPr>
          <w:t xml:space="preserve">pilieciumokslas.lt</w:t>
        </w:r>
      </w:hyperlink>
      <w:r>
        <w:t xml:space="preserve">.</w:t>
      </w:r>
    </w:p>
    <w:p>
      <w:pPr>
        <w:pStyle w:val="Heading2"/>
      </w:pPr>
      <w:r>
        <w:t xml:space="preserve">1. Jūsų projektas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Klausimas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Jūsų atsakymas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Projekto pavadinimas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Ką dalyviai darys?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Kiek dalyvių reikia?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Kiek laiko užtruks vienam dalyviui?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Kur atliekama užduotis (telefonu, kompiuteriu, vietoje)?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Kada reikia dalyvių?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2. Ko reikia jūsų projektui?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Klausimas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Jūsų atsakymas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Kokių žmonių reikia (amžius, vieta, patirtis, žinios)?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Kuris segmentas jiems artimiausias?</w:t>
            </w:r>
          </w:p>
        </w:tc>
        <w:tc>
          <w:tcPr>
            <w:tcW w:w="4680" w:type="dxa"/>
          </w:tcPr>
          <w:p>
            <w:pPr/>
            <w:r>
              <w:t xml:space="preserve">[Segmentas]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 pakaktų vien mokslo entuziastų? Jei ne, ko trūktų?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3. Kaip juos pasieksite?</w:t>
      </w:r>
    </w:p>
    <w:p>
      <w:pPr/>
      <w:r>
        <w:t xml:space="preserve">Pirmiausia kvietimas, tada planas: po vieną eilutę kiekvienam kanalui ar tarpininkui.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Klausimas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Jūsų atsakymas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Kaip pavadinsite veiklą kvietime? Ar būtinas žodis „tyrimas“?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Ką dalyvis gaus ar sužinos?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Ką parodysite dalyviams po to?</w:t>
            </w:r>
          </w:p>
        </w:tc>
        <w:tc>
          <w:tcPr>
            <w:tcW w:w="4680" w:type="dxa"/>
          </w:tcPr>
          <w:p>
            <w:pPr/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Segmentas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Kanalas ar tarpininkas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Žinutė vienu sakiniu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Kas atsakingas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Kada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[Segmentas]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[Segmentas]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[Segmentas]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4. Rizika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Klausimas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Jūsų atsakymas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Ką darysite, jei atsilieps tik mokslo entuziastai?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Kuri grupė greičiausiai neatsilieps ir kodėl?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5. Kolegos patikra</w:t>
      </w:r>
    </w:p>
    <w:p>
      <w:pPr/>
      <w:r>
        <w:t xml:space="preserve">Kolega pildo dešinį stulpelį, po 6 min kiekvienam planui.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Klausimas kolegai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Kolegos pastaba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Kurią grupę šis planas greičiausiai praleis?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Ar užduotį realu atlikti per nurodytą laiką?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Ką keistumėte pirmiausia?</w:t>
            </w:r>
          </w:p>
        </w:tc>
        <w:tc>
          <w:tcPr>
            <w:tcW w:w="468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pilieciumokslas.lt/kas-nori-dalyvauti-tyrimuos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Dalyvių paieškos planas</dc:title>
  <dc:description>Claude Docs node/32017bed-3da9@6 docx-w6</dc:description>
  <cp:revision>6</cp:revision>
</cp:coreProperties>
</file>