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Report 2024</w:t>
      </w:r>
    </w:p>
    <w:p>
      <w:r>
        <w:t>Q1 Performance Summary</w:t>
      </w:r>
    </w:p>
    <w:p>
      <w:pPr>
        <w:pStyle w:val="Heading2"/>
      </w:pPr>
      <w:r>
        <w:t>Regional Sales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Units Sold</w:t>
            </w:r>
          </w:p>
        </w:tc>
        <w:tc>
          <w:tcPr>
            <w:tcW w:type="dxa" w:w="2160"/>
          </w:tcPr>
          <w:p>
            <w:r>
              <w:t>Growth %</w:t>
            </w:r>
          </w:p>
        </w:tc>
      </w:tr>
      <w:tr>
        <w:tc>
          <w:tcPr>
            <w:tcW w:type="dxa" w:w="2160"/>
          </w:tcPr>
          <w:p>
            <w:r>
              <w:t>North America</w:t>
            </w:r>
          </w:p>
        </w:tc>
        <w:tc>
          <w:tcPr>
            <w:tcW w:type="dxa" w:w="2160"/>
          </w:tcPr>
          <w:p>
            <w:r>
              <w:t>1,250,000</w:t>
            </w:r>
          </w:p>
        </w:tc>
        <w:tc>
          <w:tcPr>
            <w:tcW w:type="dxa" w:w="2160"/>
          </w:tcPr>
          <w:p>
            <w:r>
              <w:t>8,500</w:t>
            </w:r>
          </w:p>
        </w:tc>
        <w:tc>
          <w:tcPr>
            <w:tcW w:type="dxa" w:w="2160"/>
          </w:tcPr>
          <w:p>
            <w:r>
              <w:t>15.2</w:t>
            </w:r>
          </w:p>
        </w:tc>
      </w:tr>
      <w:tr>
        <w:tc>
          <w:tcPr>
            <w:tcW w:type="dxa" w:w="2160"/>
          </w:tcPr>
          <w:p>
            <w:r>
              <w:t>Europe</w:t>
            </w:r>
          </w:p>
        </w:tc>
        <w:tc>
          <w:tcPr>
            <w:tcW w:type="dxa" w:w="2160"/>
          </w:tcPr>
          <w:p>
            <w:r>
              <w:t>980,000</w:t>
            </w:r>
          </w:p>
        </w:tc>
        <w:tc>
          <w:tcPr>
            <w:tcW w:type="dxa" w:w="2160"/>
          </w:tcPr>
          <w:p>
            <w:r>
              <w:t>6,200</w:t>
            </w:r>
          </w:p>
        </w:tc>
        <w:tc>
          <w:tcPr>
            <w:tcW w:type="dxa" w:w="2160"/>
          </w:tcPr>
          <w:p>
            <w:r>
              <w:t>12.8</w:t>
            </w:r>
          </w:p>
        </w:tc>
      </w:tr>
      <w:tr>
        <w:tc>
          <w:tcPr>
            <w:tcW w:type="dxa" w:w="2160"/>
          </w:tcPr>
          <w:p>
            <w:r>
              <w:t>Asia Pacific</w:t>
            </w:r>
          </w:p>
        </w:tc>
        <w:tc>
          <w:tcPr>
            <w:tcW w:type="dxa" w:w="2160"/>
          </w:tcPr>
          <w:p>
            <w:r>
              <w:t>1,450,000</w:t>
            </w:r>
          </w:p>
        </w:tc>
        <w:tc>
          <w:tcPr>
            <w:tcW w:type="dxa" w:w="2160"/>
          </w:tcPr>
          <w:p>
            <w:r>
              <w:t>9,800</w:t>
            </w:r>
          </w:p>
        </w:tc>
        <w:tc>
          <w:tcPr>
            <w:tcW w:type="dxa" w:w="2160"/>
          </w:tcPr>
          <w:p>
            <w:r>
              <w:t>22.5</w:t>
            </w:r>
          </w:p>
        </w:tc>
      </w:tr>
      <w:tr>
        <w:tc>
          <w:tcPr>
            <w:tcW w:type="dxa" w:w="2160"/>
          </w:tcPr>
          <w:p>
            <w:r>
              <w:t>Latin America</w:t>
            </w:r>
          </w:p>
        </w:tc>
        <w:tc>
          <w:tcPr>
            <w:tcW w:type="dxa" w:w="2160"/>
          </w:tcPr>
          <w:p>
            <w:r>
              <w:t>560,000</w:t>
            </w:r>
          </w:p>
        </w:tc>
        <w:tc>
          <w:tcPr>
            <w:tcW w:type="dxa" w:w="2160"/>
          </w:tcPr>
          <w:p>
            <w:r>
              <w:t>3,400</w:t>
            </w:r>
          </w:p>
        </w:tc>
        <w:tc>
          <w:tcPr>
            <w:tcW w:type="dxa" w:w="2160"/>
          </w:tcPr>
          <w:p>
            <w:r>
              <w:t>8.3</w:t>
            </w:r>
          </w:p>
        </w:tc>
      </w:tr>
    </w:tbl>
    <w:p>
      <w:r>
        <w:br w:type="page"/>
      </w:r>
    </w:p>
    <w:p>
      <w:pPr>
        <w:pStyle w:val="Heading2"/>
      </w:pPr>
      <w:r>
        <w:t>Product Category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Market Share %</w:t>
            </w:r>
          </w:p>
        </w:tc>
      </w:tr>
      <w:tr>
        <w:tc>
          <w:tcPr>
            <w:tcW w:type="dxa" w:w="2880"/>
          </w:tcPr>
          <w:p>
            <w:r>
              <w:t>Electronics</w:t>
            </w:r>
          </w:p>
        </w:tc>
        <w:tc>
          <w:tcPr>
            <w:tcW w:type="dxa" w:w="2880"/>
          </w:tcPr>
          <w:p>
            <w:r>
              <w:t>2,100,000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Clothing</w:t>
            </w:r>
          </w:p>
        </w:tc>
        <w:tc>
          <w:tcPr>
            <w:tcW w:type="dxa" w:w="2880"/>
          </w:tcPr>
          <w:p>
            <w:r>
              <w:t>1,350,000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Home &amp; Garden</w:t>
            </w:r>
          </w:p>
        </w:tc>
        <w:tc>
          <w:tcPr>
            <w:tcW w:type="dxa" w:w="2880"/>
          </w:tcPr>
          <w:p>
            <w:r>
              <w:t>790,000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