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40" w:lineRule="auto"/>
        <w:jc w:val="center"/>
      </w:pPr>
      <w:r>
        <w:rPr>
          <w:rFonts w:ascii="Calibri" w:hAnsi="Calibri" w:eastAsia="Microsoft YaHei"/>
          <w:b/>
          <w:color w:val="0B674B"/>
          <w:sz w:val="48"/>
        </w:rPr>
        <w:t>商务标文件（Mock）</w:t>
      </w:r>
    </w:p>
    <w:p>
      <w:pPr>
        <w:spacing w:before="0" w:after="400" w:line="240" w:lineRule="auto"/>
        <w:jc w:val="center"/>
      </w:pPr>
      <w:r>
        <w:rPr>
          <w:rFonts w:ascii="Calibri" w:hAnsi="Calibri" w:eastAsia="Microsoft YaHei"/>
          <w:color w:val="677280"/>
          <w:sz w:val="25"/>
        </w:rPr>
        <w:t>海上平台电气设备采购项目 · V3.2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7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674B"/>
                <w:sz w:val="19"/>
              </w:rPr>
              <w:t>项目编号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BV-2026-018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7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674B"/>
                <w:sz w:val="19"/>
              </w:rPr>
              <w:t>招标编号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10KV-DZ-2026-018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7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674B"/>
                <w:sz w:val="19"/>
              </w:rPr>
              <w:t>编制单位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华东智造科技有限公司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7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674B"/>
                <w:sz w:val="19"/>
              </w:rPr>
              <w:t>文件状态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网页编辑演示版本</w:t>
            </w:r>
          </w:p>
        </w:tc>
      </w:tr>
    </w:tbl>
    <w:p>
      <w:pPr>
        <w:pStyle w:val="Heading1"/>
      </w:pPr>
      <w:r>
        <w:t>2  商务响应与履约承诺</w:t>
      </w:r>
    </w:p>
    <w:p>
      <w:pPr>
        <w:pStyle w:val="Heading2"/>
      </w:pPr>
      <w:r>
        <w:t>2.1  商务响应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42F"/>
          <w:sz w:val="22"/>
        </w:rPr>
        <w:t>我公司已逐条核验招标文件中的资格、交付、付款、质保与服务要求，并承诺在投标有效期内保持本商务响应真实、完整、有效。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42F"/>
          <w:sz w:val="22"/>
        </w:rPr>
        <w:t>商务边界以招标文件及最新澄清补遗为准。所有偏离项均在商务偏离表中显式列示，未列示内容视为完全响应。</w:t>
      </w:r>
    </w:p>
    <w:p>
      <w:pPr>
        <w:pStyle w:val="Heading2"/>
      </w:pPr>
      <w:r>
        <w:t>2.2  履约安排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42F"/>
          <w:sz w:val="22"/>
        </w:rPr>
        <w:t>我公司将按照合同约定配置项目资源，建立交付、验收、结算与售后闭环，确保关键商务节点可追踪、可审计。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800"/>
        <w:gridCol w:w="5640"/>
        <w:gridCol w:w="120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序号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履约阶段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主要商务事项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计划工期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合同准备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合同评审、履约担保、交付计划确认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7 天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生产交付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排产、运输、到货验收与单据归档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45 天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现场服务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安装指导、调试配合与问题闭环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30 天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验收结算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竣工验收、资料移交、结算申请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15 天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Microsoft YaHei"/>
          <w:color w:val="17242F"/>
          <w:sz w:val="22"/>
        </w:rPr>
        <w:t>项目经理负责履约协调，商务经理负责合同、结算与变更管理；关键节点形成书面记录并纳入项目档案。</w:t>
      </w:r>
    </w:p>
    <w:p>
      <w:pPr>
        <w:pStyle w:val="Heading2"/>
      </w:pPr>
      <w:r>
        <w:t>2.3  商务条款响应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920"/>
        <w:gridCol w:w="26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条款类别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响应承诺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证明文件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投标有效期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自投标截止日起 120 日内有效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投标有效期纪要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履约保证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按合同价约定比例提交履约保函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保函样式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付款与结算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按到货、验收和质保节点申请付款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商务响应表</w:t>
            </w:r>
          </w:p>
        </w:tc>
      </w:tr>
    </w:tbl>
    <w:p>
      <w:pPr>
        <w:pStyle w:val="Heading2"/>
      </w:pPr>
      <w:r>
        <w:t>2.4  服务与质保承诺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42F"/>
          <w:sz w:val="22"/>
        </w:rPr>
        <w:t>项目验收后提供 24 个月质量保证期，建立 7×24 小时响应机制；商务与服务承诺在质保期内持续有效。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7242F"/>
          <w:sz w:val="22"/>
        </w:rPr>
        <w:t>本 Mock 文档</w:t>
      </w:r>
      <w:r>
        <w:rPr>
          <w:rFonts w:ascii="Calibri" w:hAnsi="Calibri" w:eastAsia="Microsoft YaHei"/>
          <w:color w:val="17242F"/>
          <w:sz w:val="22"/>
        </w:rPr>
        <w:t>专用于验证 AI电网投标助手的 Word 在线预览、内容修改、保存状态与版本交互，不作为正式投标文件。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677280"/>
        <w:sz w:val="17"/>
      </w:rPr>
      <w:t>Mock 文件 · 仅用于网页在线编辑功能测试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b/>
        <w:color w:val="677280"/>
        <w:sz w:val="18"/>
      </w:rPr>
      <w:t>AI电网投标助手  ·  商务标成果样例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B67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B67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