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 w:line="240" w:lineRule="auto"/>
        <w:jc w:val="center"/>
      </w:pPr>
      <w:r>
        <w:rPr>
          <w:rFonts w:ascii="Calibri" w:hAnsi="Calibri" w:eastAsia="Microsoft YaHei"/>
          <w:b/>
          <w:color w:val="0B674B"/>
          <w:sz w:val="48"/>
        </w:rPr>
        <w:t>技术标文件（Mock）</w:t>
      </w:r>
    </w:p>
    <w:p>
      <w:pPr>
        <w:spacing w:before="0" w:after="400" w:line="240" w:lineRule="auto"/>
        <w:jc w:val="center"/>
      </w:pPr>
      <w:r>
        <w:rPr>
          <w:rFonts w:ascii="Calibri" w:hAnsi="Calibri" w:eastAsia="Microsoft YaHei"/>
          <w:color w:val="677280"/>
          <w:sz w:val="25"/>
        </w:rPr>
        <w:t>海上平台电气设备采购项目 · V3.2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项目编号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BV-2026-018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招标编号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10KV-DZ-2026-018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编制单位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华东智造科技有限公司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7F5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674B"/>
                <w:sz w:val="19"/>
              </w:rPr>
              <w:t>文件状态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网页编辑演示版本</w:t>
            </w:r>
          </w:p>
        </w:tc>
      </w:tr>
    </w:tbl>
    <w:p>
      <w:pPr>
        <w:pStyle w:val="Heading1"/>
      </w:pPr>
      <w:r>
        <w:t>4  供货与实施方案</w:t>
      </w:r>
    </w:p>
    <w:p>
      <w:pPr>
        <w:pStyle w:val="Heading2"/>
      </w:pPr>
      <w:r>
        <w:t>4.1  供货范围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本项目供货范围包括但不限于：高压断路器、隔离开关、电流互感器、电压互感器、避雷器、开关柜及其附属设备，覆盖设计联络、制造、检验、运输、安装指导与调试配合。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供货边界以招标文件、技术规范书和最新澄清补遗为准。任何接口差异均在设计联络阶段形成书面确认记录，并纳入受控版本。</w:t>
      </w:r>
    </w:p>
    <w:p>
      <w:pPr>
        <w:pStyle w:val="Heading2"/>
      </w:pPr>
      <w:r>
        <w:t>4.2  实施方案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我公司将严格按照招标文件要求及国家相关规范标准，制定详细实施计划，合理安排资源，确保项目按期、高质量完成。主要实施步骤如下：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5640"/>
        <w:gridCol w:w="1200"/>
      </w:tblGrid>
      <w:tr>
        <w:trPr>
          <w:tblHeader w:val="true"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序号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实施阶段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主要工作内容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计划工期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前期准备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技术交底、图纸会审、施工方案编制、现场勘查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7 天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设备供货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设备制造、出厂检验、运输及到货验收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45 天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现场施工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设备安装、管道连接、电气接线、系统调试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30 天</w:t>
            </w:r>
          </w:p>
        </w:tc>
      </w:tr>
      <w:t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试运行与验收</w:t>
            </w:r>
          </w:p>
        </w:tc>
        <w:tc>
          <w:tcPr>
            <w:tcW w:type="dxa" w:w="5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单体试运、联动试运、性能验收、资料移交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color w:val="17242F"/>
                <w:sz w:val="19"/>
              </w:rPr>
              <w:t>15 天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我们将配备经验丰富的项目团队，建立完整的质量、进度、安全管理体系，设置关键节点审查与风险预警，确保项目顺利实施并达到预期目标。</w:t>
      </w:r>
    </w:p>
    <w:p>
      <w:pPr>
        <w:pStyle w:val="Heading2"/>
      </w:pPr>
      <w:r>
        <w:t>4.3  质量保障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920"/>
        <w:gridCol w:w="26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控制节点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控制措施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3F2EC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icrosoft YaHei"/>
                <w:b/>
                <w:color w:val="17242F"/>
                <w:sz w:val="19"/>
              </w:rPr>
              <w:t>输出记录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设计评审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校核技术参数、接口条件和引用依据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设计评审纪要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出厂检验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执行例行试验和关键性能见证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出厂试验报告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现场验收</w:t>
            </w:r>
          </w:p>
        </w:tc>
        <w:tc>
          <w:tcPr>
            <w:tcW w:type="dxa" w:w="4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核对安装质量、联锁逻辑及运行指标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color w:val="17242F"/>
                <w:sz w:val="19"/>
              </w:rPr>
              <w:t>验收签证单</w:t>
            </w:r>
          </w:p>
        </w:tc>
      </w:tr>
    </w:tbl>
    <w:p>
      <w:pPr>
        <w:pStyle w:val="Heading2"/>
      </w:pPr>
      <w:r>
        <w:t>4.4  售后服务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17242F"/>
          <w:sz w:val="22"/>
        </w:rPr>
        <w:t>项目验收后提供 24 个月质量保证期，建立 7×24 小时响应机制。重大故障 2 小时内响应，必要时 24 小时内到达现场。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17242F"/>
          <w:sz w:val="22"/>
        </w:rPr>
        <w:t>本 Mock 文档</w:t>
      </w:r>
      <w:r>
        <w:rPr>
          <w:rFonts w:ascii="Calibri" w:hAnsi="Calibri" w:eastAsia="Microsoft YaHei"/>
          <w:color w:val="17242F"/>
          <w:sz w:val="22"/>
        </w:rPr>
        <w:t>专用于验证 AI电网投标助手的 Word 在线预览、内容修改、保存状态与版本交互，不作为正式投标文件。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color w:val="677280"/>
        <w:sz w:val="17"/>
      </w:rPr>
      <w:t>Mock 文件 · 仅用于网页在线编辑功能测试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/>
        <w:color w:val="677280"/>
        <w:sz w:val="18"/>
      </w:rPr>
      <w:t>AI电网投标助手  ·  技术标成果样例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67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B67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