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60"/>
        </w:rPr>
        <w:t>WeBWorK PG</w:t>
        <w:br/>
        <w:t>Authoring Guide</w:t>
      </w:r>
    </w:p>
    <w:p>
      <w:pPr>
        <w:jc w:val="center"/>
      </w:pPr>
      <w:r>
        <w:rPr>
          <w:i/>
          <w:color w:val="4472C4"/>
          <w:sz w:val="28"/>
        </w:rPr>
        <w:t>A practical handbook for creating reliable, randomized mathematics and statistics problems</w:t>
      </w:r>
    </w:p>
    <w:p>
      <w:pPr>
        <w:spacing w:before="440"/>
        <w:jc w:val="center"/>
      </w:pPr>
      <w:r>
        <w:rPr>
          <w:sz w:val="22"/>
        </w:rPr>
        <w:t>Built from lessons learned during the MATH/STAT 1060, 2060, and 2080 migration to modern WeBWorK PG.</w:t>
      </w:r>
    </w:p>
    <w:tbl>
      <w:tblPr>
        <w:tblW w:type="auto" w:w="0"/>
        <w:jc w:val="center"/>
        <w:tblLook w:firstColumn="1" w:firstRow="1" w:lastColumn="0" w:lastRow="0" w:noHBand="0" w:noVBand="1" w:val="04A0"/>
      </w:tblPr>
      <w:tblGrid>
        <w:gridCol w:w="9878"/>
      </w:tblGrid>
      <w:tr>
        <w:tc>
          <w:tcPr>
            <w:tcW w:type="dxa" w:w="9878"/>
            <w:shd w:fill="D9EAF7"/>
            <w:tcMar>
              <w:top w:w="140" w:type="dxa"/>
              <w:start w:w="160" w:type="dxa"/>
              <w:bottom w:w="140" w:type="dxa"/>
              <w:end w:w="160" w:type="dxa"/>
            </w:tcMar>
          </w:tcPr>
          <w:p>
            <w:r>
              <w:rPr>
                <w:b/>
                <w:color w:val="17365D"/>
              </w:rPr>
              <w:t xml:space="preserve">Audience  </w:t>
            </w:r>
            <w:r>
              <w:t>Instructors, teaching assistants, course developers, and Copilot users creating or maintaining WeBWorK problems.</w:t>
            </w:r>
          </w:p>
        </w:tc>
      </w:tr>
    </w:tbl>
    <w:p>
      <w:pPr>
        <w:spacing w:before="2400"/>
        <w:jc w:val="center"/>
      </w:pPr>
      <w:r>
        <w:rPr>
          <w:color w:val="666666"/>
        </w:rPr>
        <w:t>Version 1.0  |  October 2026</w:t>
      </w:r>
    </w:p>
    <w:p>
      <w:r>
        <w:br w:type="page"/>
      </w:r>
    </w:p>
    <w:p>
      <w:pPr>
        <w:pStyle w:val="Heading1"/>
      </w:pPr>
      <w:r>
        <w:t>1. How to Use This Guide</w:t>
      </w:r>
    </w:p>
    <w:p>
      <w:r>
        <w:t>This handbook is both a teaching resource and a house-style reference. A new author can read the early chapters sequentially; an experienced author can use the later recipes, checklists, and troubleshooting sections as a reference.</w:t>
      </w:r>
    </w:p>
    <w:tbl>
      <w:tblPr>
        <w:tblW w:type="auto" w:w="0"/>
        <w:jc w:val="center"/>
        <w:tblLook w:firstColumn="1" w:firstRow="1" w:lastColumn="0" w:lastRow="0" w:noHBand="0" w:noVBand="1" w:val="04A0"/>
      </w:tblPr>
      <w:tblGrid>
        <w:gridCol w:w="9878"/>
      </w:tblGrid>
      <w:tr>
        <w:tc>
          <w:tcPr>
            <w:tcW w:type="dxa" w:w="9878"/>
            <w:shd w:fill="EAF2F8"/>
            <w:tcMar>
              <w:top w:w="140" w:type="dxa"/>
              <w:start w:w="160" w:type="dxa"/>
              <w:bottom w:w="140" w:type="dxa"/>
              <w:end w:w="160" w:type="dxa"/>
            </w:tcMar>
          </w:tcPr>
          <w:p>
            <w:r>
              <w:rPr>
                <w:b/>
                <w:color w:val="17365D"/>
              </w:rPr>
              <w:t xml:space="preserve">Most important principle  </w:t>
            </w:r>
            <w:r>
              <w:t>The displayed problem, the mathematical model, every derived quantity, and every answer evaluator should come from the same source of truth.</w:t>
            </w:r>
          </w:p>
        </w:tc>
      </w:tr>
    </w:tbl>
    <w:p>
      <w:pPr>
        <w:pStyle w:val="Heading2"/>
      </w:pPr>
      <w:r>
        <w:t>Recommended workflow</w:t>
      </w:r>
    </w:p>
    <w:p>
      <w:pPr>
        <w:pStyle w:val="ListNumber"/>
      </w:pPr>
      <w:r>
        <w:t>Start from the learning objective, not from PG syntax.</w:t>
      </w:r>
    </w:p>
    <w:p>
      <w:pPr>
        <w:pStyle w:val="ListNumber"/>
      </w:pPr>
      <w:r>
        <w:t>Design the mathematics and randomization constraints.</w:t>
      </w:r>
    </w:p>
    <w:p>
      <w:pPr>
        <w:pStyle w:val="ListNumber"/>
      </w:pPr>
      <w:r>
        <w:t>Decide exactly what students will see and what they must calculate.</w:t>
      </w:r>
    </w:p>
    <w:p>
      <w:pPr>
        <w:pStyle w:val="ListNumber"/>
      </w:pPr>
      <w:r>
        <w:t>Generate the PG file using the standard structure in this guide.</w:t>
      </w:r>
    </w:p>
    <w:p>
      <w:pPr>
        <w:pStyle w:val="ListNumber"/>
      </w:pPr>
      <w:r>
        <w:t>Test the problem in WeBWorK under several random versions.</w:t>
      </w:r>
    </w:p>
    <w:p>
      <w:pPr>
        <w:pStyle w:val="ListNumber"/>
      </w:pPr>
      <w:r>
        <w:t>Audit answers, rounding, edge cases, and display before publishing.</w:t>
      </w:r>
    </w:p>
    <w:p>
      <w:pPr>
        <w:pStyle w:val="Heading2"/>
      </w:pPr>
      <w:r>
        <w:t>Using this guide with Copilot</w:t>
      </w:r>
    </w:p>
    <w:p>
      <w:r>
        <w:t>For a fresh Copilot account, attach WeBWorK_PG_Copilot_Instructions.md and describe the problem idea in ordinary language. The companion START_HERE_WITH_COPILOT.md contains copy-and-paste prompts and a problem brief.</w:t>
      </w:r>
    </w:p>
    <w:p>
      <w:pPr>
        <w:pStyle w:val="Heading1"/>
      </w:pPr>
      <w:r>
        <w:t>2. Anatomy of a Modern PG File</w:t>
      </w:r>
    </w:p>
    <w:p>
      <w:r>
        <w:t>A consistent file layout makes problems easier to read, debug, review, and maintain. The following is the preferred baseline structure.</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 DESCRIPTION</w:t>
              <w:br/>
              <w:t>## Short description</w:t>
              <w:br/>
              <w:t>## ENDDESCRIPTION</w:t>
              <w:br/>
              <w:br/>
              <w:t>DOCUMENT();</w:t>
              <w:br/>
              <w:br/>
              <w:t>loadMacros(</w:t>
              <w:br/>
              <w:t xml:space="preserve">    "PGstandard.pl",</w:t>
              <w:br/>
              <w:t xml:space="preserve">    "MathObjects.pl",</w:t>
              <w:br/>
              <w:t xml:space="preserve">    "PGML.pl",</w:t>
              <w:br/>
              <w:t xml:space="preserve">    "parserRadioButtons.pl",</w:t>
              <w:br/>
              <w:t xml:space="preserve">    "niceTables.pl",</w:t>
              <w:br/>
              <w:t xml:space="preserve">    "PGcourse.pl"</w:t>
              <w:br/>
              <w:t>);</w:t>
              <w:br/>
              <w:br/>
              <w:t>Context("Numeric");</w:t>
              <w:br/>
              <w:br/>
              <w:t># 1. Randomized parameters</w:t>
              <w:br/>
              <w:t># 2. Derived quantities</w:t>
              <w:br/>
              <w:t># 3. Answer evaluators</w:t>
              <w:br/>
              <w:t># 4. Choice objects</w:t>
              <w:br/>
              <w:t># 5. Display tables</w:t>
              <w:br/>
              <w:br/>
              <w:t>BEGIN_PGML</w:t>
              <w:br/>
              <w:t>...</w:t>
              <w:br/>
              <w:t>END_PGML</w:t>
              <w:br/>
              <w:br/>
              <w:t>ANS(...);</w:t>
              <w:br/>
              <w:br/>
              <w:t>ENDDOCUMENT();</w:t>
            </w:r>
          </w:p>
        </w:tc>
      </w:tr>
    </w:tbl>
    <w:p>
      <w:r>
        <w:t>Load only macros the problem actually uses. Predictable organization is especially valuable when a different instructor or a future Copilot session must debug the file.</w:t>
      </w:r>
    </w:p>
    <w:p>
      <w:pPr>
        <w:pStyle w:val="Heading1"/>
      </w:pPr>
      <w:r>
        <w:t>3. Design the Mathematics Before the Code</w:t>
      </w:r>
    </w:p>
    <w:p>
      <w:pPr>
        <w:pStyle w:val="Heading2"/>
      </w:pPr>
      <w:r>
        <w:t>Start from the learning objective</w:t>
      </w:r>
    </w:p>
    <w:p>
      <w:r>
        <w:t>Write one sentence describing what the student must demonstrate. Then decide which mathematical objects must be generated, which intermediate steps matter pedagogically, and which answer types are appropriate.</w:t>
      </w:r>
    </w:p>
    <w:p>
      <w:pPr>
        <w:pStyle w:val="Heading2"/>
      </w:pPr>
      <w:r>
        <w:t>Constructive randomization</w:t>
      </w:r>
    </w:p>
    <w:p>
      <w:r>
        <w:t>Generate from the mathematical structure you want instead of choosing arbitrary inputs and hoping they create a good exercise.</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 Quadratic with guaranteed integer roots</w:t>
              <w:br/>
              <w:t>$r1 = non_zero_random(-6,6,1);</w:t>
              <w:br/>
              <w:t>$r2 = non_zero_random(-6,6,1);</w:t>
              <w:br/>
              <w:t>$b  = -($r1+$r2);</w:t>
              <w:br/>
              <w:t>$c  = $r1*$r2;</w:t>
            </w:r>
          </w:p>
        </w:tc>
      </w:tr>
    </w:tbl>
    <w:p>
      <w:pPr>
        <w:pStyle w:val="ListBullet"/>
      </w:pPr>
      <w:r>
        <w:t>For systems of equations, generate a desired solution and derive constants.</w:t>
      </w:r>
    </w:p>
    <w:p>
      <w:pPr>
        <w:pStyle w:val="ListBullet"/>
      </w:pPr>
      <w:r>
        <w:t>For calculus, choose parameters that preserve valid domains and clean evaluation points.</w:t>
      </w:r>
    </w:p>
    <w:p>
      <w:pPr>
        <w:pStyle w:val="ListBullet"/>
      </w:pPr>
      <w:r>
        <w:t>For probability, generate internally consistent counts or probabilities.</w:t>
      </w:r>
    </w:p>
    <w:p>
      <w:pPr>
        <w:pStyle w:val="ListBullet"/>
      </w:pPr>
      <w:r>
        <w:t>For regression and ANOVA, generate the data/model structure first and derive test quantities from it.</w:t>
      </w:r>
    </w:p>
    <w:tbl>
      <w:tblPr>
        <w:tblW w:type="auto" w:w="0"/>
        <w:jc w:val="center"/>
        <w:tblLook w:firstColumn="1" w:firstRow="1" w:lastColumn="0" w:lastRow="0" w:noHBand="0" w:noVBand="1" w:val="04A0"/>
      </w:tblPr>
      <w:tblGrid>
        <w:gridCol w:w="9878"/>
      </w:tblGrid>
      <w:tr>
        <w:tc>
          <w:tcPr>
            <w:tcW w:type="dxa" w:w="9878"/>
            <w:shd w:fill="EAF2F8"/>
            <w:tcMar>
              <w:top w:w="140" w:type="dxa"/>
              <w:start w:w="160" w:type="dxa"/>
              <w:bottom w:w="140" w:type="dxa"/>
              <w:end w:w="160" w:type="dxa"/>
            </w:tcMar>
          </w:tcPr>
          <w:p>
            <w:r>
              <w:rPr>
                <w:b/>
                <w:color w:val="17365D"/>
              </w:rPr>
              <w:t xml:space="preserve">Authoring heuristic  </w:t>
            </w:r>
            <w:r>
              <w:t>Randomize the cause, derive the consequence. Do not randomize both independently.</w:t>
            </w:r>
          </w:p>
        </w:tc>
      </w:tr>
    </w:tbl>
    <w:p>
      <w:pPr>
        <w:pStyle w:val="Heading1"/>
      </w:pPr>
      <w:r>
        <w:t>4. Randomization, Display Precision, and Edge Cases</w:t>
      </w:r>
    </w:p>
    <w:p>
      <w:pPr>
        <w:pStyle w:val="Heading2"/>
      </w:pPr>
      <w:r>
        <w:t>Round before grading from displayed data</w:t>
      </w:r>
    </w:p>
    <w:p>
      <w:r>
        <w:t>When students are expected to calculate from displayed values, the safest pattern is to round those values first and then calculate all graded answers from them.</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$x = sprintf("%.2f",$x) + 0;</w:t>
              <w:br/>
              <w:t># Derive the answer from this displayed value.</w:t>
            </w:r>
          </w:p>
        </w:tc>
      </w:tr>
    </w:tbl>
    <w:p>
      <w:pPr>
        <w:pStyle w:val="Heading2"/>
      </w:pPr>
      <w:r>
        <w:t>Degenerate cases to guard against</w:t>
      </w:r>
    </w:p>
    <w:p>
      <w:pPr>
        <w:pStyle w:val="ListBullet"/>
      </w:pPr>
      <w:r>
        <w:t>Division by zero or near-zero denominators.</w:t>
      </w:r>
    </w:p>
    <w:p>
      <w:pPr>
        <w:pStyle w:val="ListBullet"/>
      </w:pPr>
      <w:r>
        <w:t>Invalid logarithm or radical arguments.</w:t>
      </w:r>
    </w:p>
    <w:p>
      <w:pPr>
        <w:pStyle w:val="ListBullet"/>
      </w:pPr>
      <w:r>
        <w:t>Repeated roots when distinct roots are intended.</w:t>
      </w:r>
    </w:p>
    <w:p>
      <w:pPr>
        <w:pStyle w:val="ListBullet"/>
      </w:pPr>
      <w:r>
        <w:t>Zero variance or identical observations.</w:t>
      </w:r>
    </w:p>
    <w:p>
      <w:pPr>
        <w:pStyle w:val="ListBullet"/>
      </w:pPr>
      <w:r>
        <w:t>Duplicate or equivalent multiple-choice answers.</w:t>
      </w:r>
    </w:p>
    <w:p>
      <w:pPr>
        <w:pStyle w:val="ListBullet"/>
      </w:pPr>
      <w:r>
        <w:t>Randomized confidence intervals or test statistics landing exactly on a decision boundary.</w:t>
      </w:r>
    </w:p>
    <w:p>
      <w:pPr>
        <w:pStyle w:val="ListBullet"/>
      </w:pPr>
      <w:r>
        <w:t>Accidental ties when the intended procedure assumes no ties, or uncorrected ties when ranks are used.</w:t>
      </w:r>
    </w:p>
    <w:p>
      <w:pPr>
        <w:pStyle w:val="ListBullet"/>
      </w:pPr>
      <w:r>
        <w:t>Empty display rows or arrays caused by unequal randomized sample sizes.</w:t>
      </w:r>
    </w:p>
    <w:p>
      <w:pPr>
        <w:pStyle w:val="Heading1"/>
      </w:pPr>
      <w:r>
        <w:t>5. Answer Evaluation and Tolerances</w:t>
      </w:r>
    </w:p>
    <w:p>
      <w:r>
        <w:t>Use MathObjects whenever the answer is mathematical. Choose tolerance from the requested precision, not from convenience.</w:t>
      </w:r>
    </w:p>
    <w:p>
      <w:pPr>
        <w:pStyle w:val="Heading2"/>
      </w:pPr>
      <w:r>
        <w:t>Exact numerical answers</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$ans_df = Real($df)-&gt;cmp(</w:t>
              <w:br/>
              <w:t xml:space="preserve">    tolType   =&gt; 'absolute',</w:t>
              <w:br/>
              <w:t xml:space="preserve">    tolerance =&gt; 0</w:t>
              <w:br/>
              <w:t>);</w:t>
            </w:r>
          </w:p>
        </w:tc>
      </w:tr>
    </w:tbl>
    <w:p>
      <w:pPr>
        <w:pStyle w:val="Heading2"/>
      </w:pPr>
      <w:r>
        <w:t>Rounded numerical answers</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$ans_value = Real($value)-&gt;cmp(</w:t>
              <w:br/>
              <w:t xml:space="preserve">    tolType   =&gt; 'absolute',</w:t>
              <w:br/>
              <w:t xml:space="preserve">    tolerance =&gt; 0.005</w:t>
              <w:br/>
              <w:t>);</w:t>
            </w:r>
          </w:p>
        </w:tc>
      </w:tr>
    </w:tbl>
    <w:p>
      <w:r>
        <w:t>A tolerance of 0.005 naturally supports answers rounded to two decimal places; 0.0005 is commonly suitable for three decimal places.</w:t>
      </w:r>
    </w:p>
    <w:tbl>
      <w:tblPr>
        <w:tblW w:type="auto" w:w="0"/>
        <w:jc w:val="center"/>
        <w:tblLook w:firstColumn="1" w:firstRow="1" w:lastColumn="0" w:lastRow="0" w:noHBand="0" w:noVBand="1" w:val="04A0"/>
      </w:tblPr>
      <w:tblGrid>
        <w:gridCol w:w="9878"/>
      </w:tblGrid>
      <w:tr>
        <w:tc>
          <w:tcPr>
            <w:tcW w:type="dxa" w:w="9878"/>
            <w:shd w:fill="EAF2F8"/>
            <w:tcMar>
              <w:top w:w="140" w:type="dxa"/>
              <w:start w:w="160" w:type="dxa"/>
              <w:bottom w:w="140" w:type="dxa"/>
              <w:end w:w="160" w:type="dxa"/>
            </w:tcMar>
          </w:tcPr>
          <w:p>
            <w:r>
              <w:rPr>
                <w:b/>
                <w:color w:val="17365D"/>
              </w:rPr>
              <w:t xml:space="preserve">Do not overuse numerical answers  </w:t>
            </w:r>
            <w:r>
              <w:t>In mathematics courses, symbolic equivalence should generally be graded symbolically rather than by converting everything to decimal approximations.</w:t>
            </w:r>
          </w:p>
        </w:tc>
      </w:tr>
    </w:tbl>
    <w:p>
      <w:pPr>
        <w:pStyle w:val="Heading1"/>
      </w:pPr>
      <w:r>
        <w:t>6. Radio Buttons and Multiple Selection</w:t>
      </w:r>
    </w:p>
    <w:p>
      <w:pPr>
        <w:pStyle w:val="Heading2"/>
      </w:pPr>
      <w:r>
        <w:t>Safe RadioButtons pattern</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$correct = "The samples are independent.";</w:t>
              <w:br/>
              <w:br/>
              <w:t>$radio = RadioButtons(</w:t>
              <w:br/>
              <w:t xml:space="preserve">    [</w:t>
              <w:br/>
              <w:t xml:space="preserve">        $correct,</w:t>
              <w:br/>
              <w:t xml:space="preserve">        "The samples are paired.",</w:t>
              <w:br/>
              <w:t xml:space="preserve">        "The observations are identical."</w:t>
              <w:br/>
              <w:t xml:space="preserve">    ],</w:t>
              <w:br/>
              <w:t xml:space="preserve">    $correct,</w:t>
              <w:br/>
              <w:t xml:space="preserve">    labels =&gt; "ABC",</w:t>
              <w:br/>
              <w:t xml:space="preserve">    displayLabels =&gt; 1</w:t>
              <w:br/>
              <w:t>);</w:t>
            </w:r>
          </w:p>
        </w:tc>
      </w:tr>
    </w:tbl>
    <w:tbl>
      <w:tblPr>
        <w:tblW w:type="auto" w:w="0"/>
        <w:jc w:val="center"/>
        <w:tblLook w:firstColumn="1" w:firstRow="1" w:lastColumn="0" w:lastRow="0" w:noHBand="0" w:noVBand="1" w:val="04A0"/>
      </w:tblPr>
      <w:tblGrid>
        <w:gridCol w:w="9878"/>
      </w:tblGrid>
      <w:tr>
        <w:tc>
          <w:tcPr>
            <w:tcW w:type="dxa" w:w="9878"/>
            <w:shd w:fill="EAF2F8"/>
            <w:tcMar>
              <w:top w:w="140" w:type="dxa"/>
              <w:start w:w="160" w:type="dxa"/>
              <w:bottom w:w="140" w:type="dxa"/>
              <w:end w:w="160" w:type="dxa"/>
            </w:tcMar>
          </w:tcPr>
          <w:p>
            <w:r>
              <w:rPr>
                <w:b/>
                <w:color w:val="17365D"/>
              </w:rPr>
              <w:t xml:space="preserve">Critical lesson from the migration  </w:t>
            </w:r>
            <w:r>
              <w:t>The correct RadioButtons answer must exactly match one of the available button values. Two sentences can mean the same thing and still fail because their strings differ.</w:t>
            </w:r>
          </w:p>
        </w:tc>
      </w:tr>
    </w:tbl>
    <w:p>
      <w:r>
        <w:t>For dynamic decisions, define all possible answer strings once, branch by assigning one of those exact variables, and reuse the same variables in the choice list.</w:t>
      </w:r>
    </w:p>
    <w:p>
      <w:r>
        <w:t>For select-all-that-apply questions, prefer the modern CheckboxList parser rather than reproducing legacy CAPA optionresponse structures.</w:t>
      </w:r>
    </w:p>
    <w:p>
      <w:pPr>
        <w:pStyle w:val="Heading1"/>
      </w:pPr>
      <w:r>
        <w:t>7. PGML, Tables, and Multipart Scaffolding</w:t>
      </w:r>
    </w:p>
    <w:p>
      <w:pPr>
        <w:pStyle w:val="Heading2"/>
      </w:pPr>
      <w:r>
        <w:t>Core PGML patterns</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Inline math: [`x^2+y^2=1`]</w:t>
              <w:br/>
              <w:br/>
              <w:t>Display math:</w:t>
              <w:br/>
              <w:t>[`</w:t>
              <w:br/>
              <w:t>t = \frac{\bar X-\mu_0}{SE}.</w:t>
              <w:br/>
              <w:t>`]</w:t>
              <w:br/>
              <w:br/>
              <w:t>Answer box: [_________]{$ans}</w:t>
              <w:br/>
              <w:br/>
              <w:t>Radio buttons: [_]{$radio}</w:t>
            </w:r>
          </w:p>
        </w:tc>
      </w:tr>
    </w:tbl>
    <w:p>
      <w:pPr>
        <w:pStyle w:val="Heading2"/>
      </w:pPr>
      <w:r>
        <w:t>Data tables</w:t>
      </w:r>
    </w:p>
    <w:p>
      <w:r>
        <w:t>Use DataTable from niceTables.pl for raw data, summaries, ANOVA tables, and other structured displays. Construct rows programmatically and format numbers deliberately for display.</w:t>
      </w:r>
    </w:p>
    <w:p>
      <w:pPr>
        <w:pStyle w:val="Heading2"/>
      </w:pPr>
      <w:r>
        <w:t>Scaffold by reasoning, not length</w:t>
      </w:r>
    </w:p>
    <w:p>
      <w:pPr>
        <w:pStyle w:val="ListBullet"/>
      </w:pPr>
      <w:r>
        <w:t>Statistics: design -&gt; hypotheses -&gt; summaries -&gt; standard error -&gt; statistic -&gt; interval/P-value -&gt; decision -&gt; interpretation.</w:t>
      </w:r>
    </w:p>
    <w:p>
      <w:pPr>
        <w:pStyle w:val="ListBullet"/>
      </w:pPr>
      <w:r>
        <w:t>Mathematics: recognize structure -&gt; choose method -&gt; execute -&gt; verify -&gt; interpret/domain/check.</w:t>
      </w:r>
    </w:p>
    <w:p>
      <w:pPr>
        <w:pStyle w:val="Heading1"/>
      </w:pPr>
      <w:r>
        <w:t>8. Statistics Authoring Recipes</w:t>
      </w:r>
    </w:p>
    <w:p>
      <w:pPr>
        <w:pStyle w:val="Heading2"/>
      </w:pPr>
      <w:r>
        <w:t>Independent pooled two-sample t</w:t>
      </w:r>
    </w:p>
    <w:p>
      <w:r>
        <w:t>Keep the difference convention explicit. Derive pooled variance, SE, df, statistic, and interval from the same displayed summaries.</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$sp2 = (($n1-1)*$s1**2 + ($n2-1)*$s2**2)/($n1+$n2-2);</w:t>
              <w:br/>
              <w:t>$sp  = sqrt($sp2);</w:t>
              <w:br/>
              <w:t>$SE  = $sp*sqrt(1/$n1 + 1/$n2);</w:t>
              <w:br/>
              <w:t>$df  = $n1+$n2-2;</w:t>
            </w:r>
          </w:p>
        </w:tc>
      </w:tr>
    </w:tbl>
    <w:p>
      <w:pPr>
        <w:pStyle w:val="Heading2"/>
      </w:pPr>
      <w:r>
        <w:t>Matched pairs</w:t>
      </w:r>
    </w:p>
    <w:p>
      <w:r>
        <w:t>Define D first and never switch direction halfway through. A paired t procedure is a one-sample t procedure on the within-subject differences.</w:t>
      </w:r>
    </w:p>
    <w:p>
      <w:pPr>
        <w:pStyle w:val="Heading2"/>
      </w:pPr>
      <w:r>
        <w:t>Permutation tests</w:t>
      </w:r>
    </w:p>
    <w:p>
      <w:r>
        <w:t>For small randomized experiments, exact enumeration can be clearer and more reliable than a simulated P-value. A two-sided test should count reallocations whose absolute statistic is at least as extreme as the observed absolute statistic.</w:t>
      </w:r>
    </w:p>
    <w:p>
      <w:pPr>
        <w:pStyle w:val="Heading2"/>
      </w:pPr>
      <w:r>
        <w:t>Wilcoxon rank sum</w:t>
      </w:r>
    </w:p>
    <w:p>
      <w:r>
        <w:t>Pool observations, rank from smallest to largest, and assign average ranks to ties. If using a normal approximation in the presence of ties, use a tie-corrected variance.</w:t>
      </w:r>
    </w:p>
    <w:p>
      <w:pPr>
        <w:pStyle w:val="Heading2"/>
      </w:pPr>
      <w:r>
        <w:t>One-way and two-way ANOVA</w:t>
      </w:r>
    </w:p>
    <w:p>
      <w:pPr>
        <w:pStyle w:val="ListBullet"/>
      </w:pPr>
      <w:r>
        <w:t>One-way: verify SST = SSTreatment + SSE and the corresponding df decomposition.</w:t>
      </w:r>
    </w:p>
    <w:p>
      <w:pPr>
        <w:pStyle w:val="ListBullet"/>
      </w:pPr>
      <w:r>
        <w:t>Two-way: verify SSA + SSB + SSAB + SSE = SST and dfA + dfB + dfAB + dfE = dfTotal.</w:t>
      </w:r>
    </w:p>
    <w:p>
      <w:pPr>
        <w:pStyle w:val="ListBullet"/>
      </w:pPr>
      <w:r>
        <w:t>When interaction is important, examine it before interpreting marginal main effects.</w:t>
      </w:r>
    </w:p>
    <w:p>
      <w:pPr>
        <w:pStyle w:val="ListBullet"/>
      </w:pPr>
      <w:r>
        <w:t>A significant global ANOVA means not all means are equal; it does not prove every pair differs.</w:t>
      </w:r>
    </w:p>
    <w:p>
      <w:pPr>
        <w:pStyle w:val="Heading2"/>
      </w:pPr>
      <w:r>
        <w:t>Regression</w:t>
      </w:r>
    </w:p>
    <w:p>
      <w:pPr>
        <w:pStyle w:val="ListBullet"/>
      </w:pPr>
      <w:r>
        <w:t>Verify SST = SSR + SSE.</w:t>
      </w:r>
    </w:p>
    <w:p>
      <w:pPr>
        <w:pStyle w:val="ListBullet"/>
      </w:pPr>
      <w:r>
        <w:t>Verify R-squared = SSR/SST = 1-SSE/SST.</w:t>
      </w:r>
    </w:p>
    <w:p>
      <w:pPr>
        <w:pStyle w:val="ListBullet"/>
      </w:pPr>
      <w:r>
        <w:t>Distinguish residuals from deviations about the sample mean.</w:t>
      </w:r>
    </w:p>
    <w:p>
      <w:pPr>
        <w:pStyle w:val="ListBullet"/>
      </w:pPr>
      <w:r>
        <w:t>Distinguish a confidence interval for a mean response from a prediction interval for one future response.</w:t>
      </w:r>
    </w:p>
    <w:p>
      <w:pPr>
        <w:pStyle w:val="ListBullet"/>
      </w:pPr>
      <w:r>
        <w:t>Do not equate statistical association with causation.</w:t>
      </w:r>
    </w:p>
    <w:p>
      <w:pPr>
        <w:pStyle w:val="Heading1"/>
      </w:pPr>
      <w:r>
        <w:t>9. Mathematics Authoring Recipes</w:t>
      </w:r>
    </w:p>
    <w:p>
      <w:r>
        <w:t>The same architecture applies to mathematics courses. The main difference is that symbolic answer evaluation becomes even more important.</w:t>
      </w:r>
    </w:p>
    <w:p>
      <w:pPr>
        <w:pStyle w:val="Heading2"/>
      </w:pPr>
      <w:r>
        <w:t>Algebra</w:t>
      </w:r>
    </w:p>
    <w:p>
      <w:pPr>
        <w:pStyle w:val="ListBullet"/>
      </w:pPr>
      <w:r>
        <w:t>Generate polynomial coefficients from desired roots when clean factorization is the learning goal.</w:t>
      </w:r>
    </w:p>
    <w:p>
      <w:pPr>
        <w:pStyle w:val="ListBullet"/>
      </w:pPr>
      <w:r>
        <w:t>For rational equations, enforce domain restrictions before selecting values.</w:t>
      </w:r>
    </w:p>
    <w:p>
      <w:pPr>
        <w:pStyle w:val="ListBullet"/>
      </w:pPr>
      <w:r>
        <w:t>For systems, generate from a known solution and choose coefficients that give the intended number of solutions.</w:t>
      </w:r>
    </w:p>
    <w:p>
      <w:pPr>
        <w:pStyle w:val="Heading2"/>
      </w:pPr>
      <w:r>
        <w:t>Functions and precalculus</w:t>
      </w:r>
    </w:p>
    <w:p>
      <w:pPr>
        <w:pStyle w:val="ListBullet"/>
      </w:pPr>
      <w:r>
        <w:t>Generate compositions/inverses with domains that make the intended operation valid.</w:t>
      </w:r>
    </w:p>
    <w:p>
      <w:pPr>
        <w:pStyle w:val="ListBullet"/>
      </w:pPr>
      <w:r>
        <w:t>Avoid random values that create accidental cancellations or duplicated answer choices.</w:t>
      </w:r>
    </w:p>
    <w:p>
      <w:pPr>
        <w:pStyle w:val="ListBullet"/>
      </w:pPr>
      <w:r>
        <w:t>Treat domain/range and interval answers as mathematical objects rather than plain strings when possible.</w:t>
      </w:r>
    </w:p>
    <w:p>
      <w:pPr>
        <w:pStyle w:val="Heading2"/>
      </w:pPr>
      <w:r>
        <w:t>Calculus</w:t>
      </w:r>
    </w:p>
    <w:p>
      <w:pPr>
        <w:pStyle w:val="ListBullet"/>
      </w:pPr>
      <w:r>
        <w:t>Choose functions that exercise the intended rule rather than adding accidental algebraic difficulty.</w:t>
      </w:r>
    </w:p>
    <w:p>
      <w:pPr>
        <w:pStyle w:val="ListBullet"/>
      </w:pPr>
      <w:r>
        <w:t>For tangent-line questions, generate a valid point and derive the line from the derivative.</w:t>
      </w:r>
    </w:p>
    <w:p>
      <w:pPr>
        <w:pStyle w:val="ListBullet"/>
      </w:pPr>
      <w:r>
        <w:t>For substitution or chain-rule problems, generate from a recognizable inner/outer structure.</w:t>
      </w:r>
    </w:p>
    <w:p>
      <w:pPr>
        <w:pStyle w:val="ListBullet"/>
      </w:pPr>
      <w:r>
        <w:t>Check logarithm, radical, trigonometric, and denominator domains.</w:t>
      </w:r>
    </w:p>
    <w:p>
      <w:pPr>
        <w:pStyle w:val="Heading2"/>
      </w:pPr>
      <w:r>
        <w:t>Linear algebra</w:t>
      </w:r>
    </w:p>
    <w:p>
      <w:pPr>
        <w:pStyle w:val="ListBullet"/>
      </w:pPr>
      <w:r>
        <w:t>Generate matrices from intended rank/determinant properties.</w:t>
      </w:r>
    </w:p>
    <w:p>
      <w:pPr>
        <w:pStyle w:val="ListBullet"/>
      </w:pPr>
      <w:r>
        <w:t>For systems, derive the right-hand side from a known solution.</w:t>
      </w:r>
    </w:p>
    <w:p>
      <w:pPr>
        <w:pStyle w:val="ListBullet"/>
      </w:pPr>
      <w:r>
        <w:t>Check that randomization does not accidentally make a nonsingular matrix singular, or vice versa.</w:t>
      </w:r>
    </w:p>
    <w:p>
      <w:pPr>
        <w:pStyle w:val="Heading2"/>
      </w:pPr>
      <w:r>
        <w:t>Probability</w:t>
      </w:r>
    </w:p>
    <w:p>
      <w:pPr>
        <w:pStyle w:val="ListBullet"/>
      </w:pPr>
      <w:r>
        <w:t>Enforce probabilities between 0 and 1.</w:t>
      </w:r>
    </w:p>
    <w:p>
      <w:pPr>
        <w:pStyle w:val="ListBullet"/>
      </w:pPr>
      <w:r>
        <w:t>Ensure discrete probability models sum to 1.</w:t>
      </w:r>
    </w:p>
    <w:p>
      <w:pPr>
        <w:pStyle w:val="ListBullet"/>
      </w:pPr>
      <w:r>
        <w:t>For conditional probability/Bayes problems, generate consistent counts or joint probabilities first.</w:t>
      </w:r>
    </w:p>
    <w:p>
      <w:pPr>
        <w:pStyle w:val="Heading1"/>
      </w:pPr>
      <w:r>
        <w:t>10. Wording and Statistical Interpretation Standards</w:t>
      </w:r>
    </w:p>
    <w:p>
      <w:pPr>
        <w:pStyle w:val="ListBullet"/>
      </w:pPr>
      <w:r>
        <w:t>Use “fail to reject the null hypothesis,” not “accept the null hypothesis.”</w:t>
      </w:r>
    </w:p>
    <w:p>
      <w:pPr>
        <w:pStyle w:val="ListBullet"/>
      </w:pPr>
      <w:r>
        <w:t>Do not describe a P-value as the probability that the null hypothesis is true.</w:t>
      </w:r>
    </w:p>
    <w:p>
      <w:pPr>
        <w:pStyle w:val="ListBullet"/>
      </w:pPr>
      <w:r>
        <w:t>Describe a confidence level as a long-run property of the interval procedure.</w:t>
      </w:r>
    </w:p>
    <w:p>
      <w:pPr>
        <w:pStyle w:val="ListBullet"/>
      </w:pPr>
      <w:r>
        <w:t>Separate statistical significance from practical importance.</w:t>
      </w:r>
    </w:p>
    <w:p>
      <w:pPr>
        <w:pStyle w:val="ListBullet"/>
      </w:pPr>
      <w:r>
        <w:t>Do not claim causation solely from correlation, regression, or a small P-value.</w:t>
      </w:r>
    </w:p>
    <w:p>
      <w:pPr>
        <w:pStyle w:val="ListBullet"/>
      </w:pPr>
      <w:r>
        <w:t>For Wilcoxon rank-sum procedures, describe the hypotheses in distribution/location terms appropriate to the method.</w:t>
      </w:r>
    </w:p>
    <w:p>
      <w:pPr>
        <w:pStyle w:val="ListBullet"/>
      </w:pPr>
      <w:r>
        <w:t>Make sign conventions explicit and interpret the sign consistently.</w:t>
      </w:r>
    </w:p>
    <w:p>
      <w:pPr>
        <w:pStyle w:val="Heading1"/>
      </w:pPr>
      <w:r>
        <w:t>11. Validation: Mathematical Invariants and Seed Testing</w:t>
      </w:r>
    </w:p>
    <w:p>
      <w:r>
        <w:t>Every randomized problem should include a mental or programmatic validation pass. A problem that works for one seed is not necessarily a working randomized problem.</w:t>
      </w:r>
    </w:p>
    <w:p>
      <w:pPr>
        <w:pStyle w:val="Heading2"/>
      </w:pPr>
      <w:r>
        <w:t>Useful invariants</w:t>
      </w:r>
    </w:p>
    <w:tbl>
      <w:tblPr>
        <w:tblStyle w:val="TableGrid"/>
        <w:tblW w:type="auto" w:w="0"/>
        <w:jc w:val="center"/>
        <w:tblLook w:firstColumn="1" w:firstRow="1" w:lastColumn="0" w:lastRow="0" w:noHBand="0" w:noVBand="1" w:val="04A0"/>
      </w:tblPr>
      <w:tblGrid>
        <w:gridCol w:w="4939"/>
        <w:gridCol w:w="4939"/>
      </w:tblGrid>
      <w:tr>
        <w:tc>
          <w:tcPr>
            <w:tcW w:type="dxa" w:w="4939"/>
            <w:shd w:fill="D9EAF7"/>
            <w:vAlign w:val="center"/>
          </w:tcPr>
          <w:p>
            <w:r>
              <w:t>Topic</w:t>
            </w:r>
          </w:p>
        </w:tc>
        <w:tc>
          <w:tcPr>
            <w:tcW w:type="dxa" w:w="4939"/>
            <w:shd w:fill="D9EAF7"/>
            <w:vAlign w:val="center"/>
          </w:tcPr>
          <w:p>
            <w:r>
              <w:t>Sanity check</w:t>
            </w:r>
          </w:p>
        </w:tc>
      </w:tr>
      <w:tr>
        <w:tc>
          <w:tcPr>
            <w:tcW w:type="dxa" w:w="4939"/>
            <w:tcMar>
              <w:top w:w="90" w:type="dxa"/>
              <w:start w:w="100" w:type="dxa"/>
              <w:bottom w:w="90" w:type="dxa"/>
              <w:end w:w="100" w:type="dxa"/>
            </w:tcMar>
            <w:vAlign w:val="center"/>
          </w:tcPr>
          <w:p>
            <w:r>
              <w:t>Probability</w:t>
            </w:r>
          </w:p>
        </w:tc>
        <w:tc>
          <w:tcPr>
            <w:tcW w:type="dxa" w:w="4939"/>
            <w:tcMar>
              <w:top w:w="90" w:type="dxa"/>
              <w:start w:w="100" w:type="dxa"/>
              <w:bottom w:w="90" w:type="dxa"/>
              <w:end w:w="100" w:type="dxa"/>
            </w:tcMar>
            <w:vAlign w:val="center"/>
          </w:tcPr>
          <w:p>
            <w:r>
              <w:t>0 &lt;= p &lt;= 1; required totals sum to 1.</w:t>
            </w:r>
          </w:p>
        </w:tc>
      </w:tr>
      <w:tr>
        <w:tc>
          <w:tcPr>
            <w:tcW w:type="dxa" w:w="4939"/>
            <w:tcMar>
              <w:top w:w="90" w:type="dxa"/>
              <w:start w:w="100" w:type="dxa"/>
              <w:bottom w:w="90" w:type="dxa"/>
              <w:end w:w="100" w:type="dxa"/>
            </w:tcMar>
            <w:vAlign w:val="center"/>
          </w:tcPr>
          <w:p>
            <w:r>
              <w:t>Confidence intervals</w:t>
            </w:r>
          </w:p>
        </w:tc>
        <w:tc>
          <w:tcPr>
            <w:tcW w:type="dxa" w:w="4939"/>
            <w:tcMar>
              <w:top w:w="90" w:type="dxa"/>
              <w:start w:w="100" w:type="dxa"/>
              <w:bottom w:w="90" w:type="dxa"/>
              <w:end w:w="100" w:type="dxa"/>
            </w:tcMar>
            <w:vAlign w:val="center"/>
          </w:tcPr>
          <w:p>
            <w:r>
              <w:t>Lower endpoint &lt; upper endpoint.</w:t>
            </w:r>
          </w:p>
        </w:tc>
      </w:tr>
      <w:tr>
        <w:tc>
          <w:tcPr>
            <w:tcW w:type="dxa" w:w="4939"/>
            <w:tcMar>
              <w:top w:w="90" w:type="dxa"/>
              <w:start w:w="100" w:type="dxa"/>
              <w:bottom w:w="90" w:type="dxa"/>
              <w:end w:w="100" w:type="dxa"/>
            </w:tcMar>
            <w:vAlign w:val="center"/>
          </w:tcPr>
          <w:p>
            <w:r>
              <w:t>Correlation</w:t>
            </w:r>
          </w:p>
        </w:tc>
        <w:tc>
          <w:tcPr>
            <w:tcW w:type="dxa" w:w="4939"/>
            <w:tcMar>
              <w:top w:w="90" w:type="dxa"/>
              <w:start w:w="100" w:type="dxa"/>
              <w:bottom w:w="90" w:type="dxa"/>
              <w:end w:w="100" w:type="dxa"/>
            </w:tcMar>
            <w:vAlign w:val="center"/>
          </w:tcPr>
          <w:p>
            <w:r>
              <w:t>-1 &lt;= r &lt;= 1.</w:t>
            </w:r>
          </w:p>
        </w:tc>
      </w:tr>
      <w:tr>
        <w:tc>
          <w:tcPr>
            <w:tcW w:type="dxa" w:w="4939"/>
            <w:tcMar>
              <w:top w:w="90" w:type="dxa"/>
              <w:start w:w="100" w:type="dxa"/>
              <w:bottom w:w="90" w:type="dxa"/>
              <w:end w:w="100" w:type="dxa"/>
            </w:tcMar>
            <w:vAlign w:val="center"/>
          </w:tcPr>
          <w:p>
            <w:r>
              <w:t>One-way ANOVA</w:t>
            </w:r>
          </w:p>
        </w:tc>
        <w:tc>
          <w:tcPr>
            <w:tcW w:type="dxa" w:w="4939"/>
            <w:tcMar>
              <w:top w:w="90" w:type="dxa"/>
              <w:start w:w="100" w:type="dxa"/>
              <w:bottom w:w="90" w:type="dxa"/>
              <w:end w:w="100" w:type="dxa"/>
            </w:tcMar>
            <w:vAlign w:val="center"/>
          </w:tcPr>
          <w:p>
            <w:r>
              <w:t>SST = SSTreatment + SSE; df parts sum to dfTotal.</w:t>
            </w:r>
          </w:p>
        </w:tc>
      </w:tr>
      <w:tr>
        <w:tc>
          <w:tcPr>
            <w:tcW w:type="dxa" w:w="4939"/>
            <w:tcMar>
              <w:top w:w="90" w:type="dxa"/>
              <w:start w:w="100" w:type="dxa"/>
              <w:bottom w:w="90" w:type="dxa"/>
              <w:end w:w="100" w:type="dxa"/>
            </w:tcMar>
            <w:vAlign w:val="center"/>
          </w:tcPr>
          <w:p>
            <w:r>
              <w:t>Two-way ANOVA</w:t>
            </w:r>
          </w:p>
        </w:tc>
        <w:tc>
          <w:tcPr>
            <w:tcW w:type="dxa" w:w="4939"/>
            <w:tcMar>
              <w:top w:w="90" w:type="dxa"/>
              <w:start w:w="100" w:type="dxa"/>
              <w:bottom w:w="90" w:type="dxa"/>
              <w:end w:w="100" w:type="dxa"/>
            </w:tcMar>
            <w:vAlign w:val="center"/>
          </w:tcPr>
          <w:p>
            <w:r>
              <w:t>SSA + SSB + SSAB + SSE = SST; df parts sum to dfTotal.</w:t>
            </w:r>
          </w:p>
        </w:tc>
      </w:tr>
      <w:tr>
        <w:tc>
          <w:tcPr>
            <w:tcW w:type="dxa" w:w="4939"/>
            <w:tcMar>
              <w:top w:w="90" w:type="dxa"/>
              <w:start w:w="100" w:type="dxa"/>
              <w:bottom w:w="90" w:type="dxa"/>
              <w:end w:w="100" w:type="dxa"/>
            </w:tcMar>
            <w:vAlign w:val="center"/>
          </w:tcPr>
          <w:p>
            <w:r>
              <w:t>Regression</w:t>
            </w:r>
          </w:p>
        </w:tc>
        <w:tc>
          <w:tcPr>
            <w:tcW w:type="dxa" w:w="4939"/>
            <w:tcMar>
              <w:top w:w="90" w:type="dxa"/>
              <w:start w:w="100" w:type="dxa"/>
              <w:bottom w:w="90" w:type="dxa"/>
              <w:end w:w="100" w:type="dxa"/>
            </w:tcMar>
            <w:vAlign w:val="center"/>
          </w:tcPr>
          <w:p>
            <w:r>
              <w:t>SST = SSR + SSE; R-squared identities agree.</w:t>
            </w:r>
          </w:p>
        </w:tc>
      </w:tr>
      <w:tr>
        <w:tc>
          <w:tcPr>
            <w:tcW w:type="dxa" w:w="4939"/>
            <w:tcMar>
              <w:top w:w="90" w:type="dxa"/>
              <w:start w:w="100" w:type="dxa"/>
              <w:bottom w:w="90" w:type="dxa"/>
              <w:end w:w="100" w:type="dxa"/>
            </w:tcMar>
            <w:vAlign w:val="center"/>
          </w:tcPr>
          <w:p>
            <w:r>
              <w:t>Permutation</w:t>
            </w:r>
          </w:p>
        </w:tc>
        <w:tc>
          <w:tcPr>
            <w:tcW w:type="dxa" w:w="4939"/>
            <w:tcMar>
              <w:top w:w="90" w:type="dxa"/>
              <w:start w:w="100" w:type="dxa"/>
              <w:bottom w:w="90" w:type="dxa"/>
              <w:end w:w="100" w:type="dxa"/>
            </w:tcMar>
            <w:vAlign w:val="center"/>
          </w:tcPr>
          <w:p>
            <w:r>
              <w:t>0 &lt;= extreme count &lt;= total allocations.</w:t>
            </w:r>
          </w:p>
        </w:tc>
      </w:tr>
      <w:tr>
        <w:tc>
          <w:tcPr>
            <w:tcW w:type="dxa" w:w="4939"/>
            <w:tcMar>
              <w:top w:w="90" w:type="dxa"/>
              <w:start w:w="100" w:type="dxa"/>
              <w:bottom w:w="90" w:type="dxa"/>
              <w:end w:w="100" w:type="dxa"/>
            </w:tcMar>
            <w:vAlign w:val="center"/>
          </w:tcPr>
          <w:p>
            <w:r>
              <w:t>Algebra</w:t>
            </w:r>
          </w:p>
        </w:tc>
        <w:tc>
          <w:tcPr>
            <w:tcW w:type="dxa" w:w="4939"/>
            <w:tcMar>
              <w:top w:w="90" w:type="dxa"/>
              <w:start w:w="100" w:type="dxa"/>
              <w:bottom w:w="90" w:type="dxa"/>
              <w:end w:w="100" w:type="dxa"/>
            </w:tcMar>
            <w:vAlign w:val="center"/>
          </w:tcPr>
          <w:p>
            <w:r>
              <w:t>Generated roots/solutions satisfy the generated equation.</w:t>
            </w:r>
          </w:p>
        </w:tc>
      </w:tr>
      <w:tr>
        <w:tc>
          <w:tcPr>
            <w:tcW w:type="dxa" w:w="4939"/>
            <w:tcMar>
              <w:top w:w="90" w:type="dxa"/>
              <w:start w:w="100" w:type="dxa"/>
              <w:bottom w:w="90" w:type="dxa"/>
              <w:end w:w="100" w:type="dxa"/>
            </w:tcMar>
            <w:vAlign w:val="center"/>
          </w:tcPr>
          <w:p>
            <w:r>
              <w:t>Linear algebra</w:t>
            </w:r>
          </w:p>
        </w:tc>
        <w:tc>
          <w:tcPr>
            <w:tcW w:type="dxa" w:w="4939"/>
            <w:tcMar>
              <w:top w:w="90" w:type="dxa"/>
              <w:start w:w="100" w:type="dxa"/>
              <w:bottom w:w="90" w:type="dxa"/>
              <w:end w:w="100" w:type="dxa"/>
            </w:tcMar>
            <w:vAlign w:val="center"/>
          </w:tcPr>
          <w:p>
            <w:r>
              <w:t>Determinant/rank matches the intended case.</w:t>
            </w:r>
          </w:p>
        </w:tc>
      </w:tr>
    </w:tbl>
    <w:p>
      <w:pPr>
        <w:pStyle w:val="Heading2"/>
      </w:pPr>
      <w:r>
        <w:t>Random-seed audit</w:t>
      </w:r>
    </w:p>
    <w:p>
      <w:pPr>
        <w:pStyle w:val="ListBullet"/>
      </w:pPr>
      <w:r>
        <w:t>Inspect several versions spanning every branch of conditional randomization.</w:t>
      </w:r>
    </w:p>
    <w:p>
      <w:pPr>
        <w:pStyle w:val="ListBullet"/>
      </w:pPr>
      <w:r>
        <w:t>Look for zero/invalid domains, duplicate choices, boundary decisions, and malformed tables.</w:t>
      </w:r>
    </w:p>
    <w:p>
      <w:pPr>
        <w:pStyle w:val="ListBullet"/>
      </w:pPr>
      <w:r>
        <w:t>Verify the correct answer independently, not merely by trusting the same formula used to create it.</w:t>
      </w:r>
    </w:p>
    <w:p>
      <w:pPr>
        <w:pStyle w:val="Heading1"/>
      </w:pPr>
      <w:r>
        <w:t>12. Troubleshooting and PG Audit Sequence</w:t>
      </w:r>
    </w:p>
    <w:p>
      <w:pPr>
        <w:pStyle w:val="ListNumber"/>
      </w:pPr>
      <w:r>
        <w:t>Check PG syntax and loaded macros.</w:t>
      </w:r>
    </w:p>
    <w:p>
      <w:pPr>
        <w:pStyle w:val="ListNumber"/>
      </w:pPr>
      <w:r>
        <w:t>Check that every variable is defined before it is used.</w:t>
      </w:r>
    </w:p>
    <w:p>
      <w:pPr>
        <w:pStyle w:val="ListNumber"/>
      </w:pPr>
      <w:r>
        <w:t>Check PGML delimiters and interpolated variables.</w:t>
      </w:r>
    </w:p>
    <w:p>
      <w:pPr>
        <w:pStyle w:val="ListNumber"/>
      </w:pPr>
      <w:r>
        <w:t>Check answer objects and tolerances.</w:t>
      </w:r>
    </w:p>
    <w:p>
      <w:pPr>
        <w:pStyle w:val="ListNumber"/>
      </w:pPr>
      <w:r>
        <w:t>Check RadioButtons for an exact correct-answer/choice match.</w:t>
      </w:r>
    </w:p>
    <w:p>
      <w:pPr>
        <w:pStyle w:val="ListNumber"/>
      </w:pPr>
      <w:r>
        <w:t>Check randomized edge cases.</w:t>
      </w:r>
    </w:p>
    <w:p>
      <w:pPr>
        <w:pStyle w:val="ListNumber"/>
      </w:pPr>
      <w:r>
        <w:t>Recalculate the mathematics independently.</w:t>
      </w:r>
    </w:p>
    <w:p>
      <w:pPr>
        <w:pStyle w:val="ListNumber"/>
      </w:pPr>
      <w:r>
        <w:t>Check that graded answers use the data students actually see.</w:t>
      </w:r>
    </w:p>
    <w:p>
      <w:pPr>
        <w:pStyle w:val="ListNumber"/>
      </w:pPr>
      <w:r>
        <w:t>Check that every student input has a corresponding ANS(...) registration.</w:t>
      </w:r>
    </w:p>
    <w:p>
      <w:pPr>
        <w:pStyle w:val="Heading2"/>
      </w:pPr>
      <w:r>
        <w:t>Frequent failure modes</w:t>
      </w:r>
    </w:p>
    <w:p>
      <w:pPr>
        <w:pStyle w:val="ListBullet"/>
      </w:pPr>
      <w:r>
        <w:t>Hard-coded derived answers drift away from randomized data.</w:t>
      </w:r>
    </w:p>
    <w:p>
      <w:pPr>
        <w:pStyle w:val="ListBullet"/>
      </w:pPr>
      <w:r>
        <w:t>Full-precision hidden values are graded although students only see rounded data.</w:t>
      </w:r>
    </w:p>
    <w:p>
      <w:pPr>
        <w:pStyle w:val="ListBullet"/>
      </w:pPr>
      <w:r>
        <w:t>External legacy images or libraries do not exist in the new course.</w:t>
      </w:r>
    </w:p>
    <w:p>
      <w:pPr>
        <w:pStyle w:val="ListBullet"/>
      </w:pPr>
      <w:r>
        <w:t>Sign conventions change between formula, answer, and interpretation.</w:t>
      </w:r>
    </w:p>
    <w:p>
      <w:pPr>
        <w:pStyle w:val="ListBullet"/>
      </w:pPr>
      <w:r>
        <w:t>Average ranks are assigned to ties but the no-ties Wilcoxon variance is retained.</w:t>
      </w:r>
    </w:p>
    <w:p>
      <w:pPr>
        <w:pStyle w:val="ListBullet"/>
      </w:pPr>
      <w:r>
        <w:t>A dynamic multiple-choice answer means the same thing as a choice but does not exactly match its text.</w:t>
      </w:r>
    </w:p>
    <w:p>
      <w:pPr>
        <w:pStyle w:val="Heading1"/>
      </w:pPr>
      <w:r>
        <w:t>13. Five Idea-to-Problem Patterns</w:t>
      </w:r>
    </w:p>
    <w:p>
      <w:pPr>
        <w:pStyle w:val="Heading2"/>
      </w:pPr>
      <w:r>
        <w:t>Pattern A: Factorable quadratic</w:t>
      </w:r>
    </w:p>
    <w:p>
      <w:r>
        <w:t>Idea: assess factoring and solving. Generate two desired roots, derive coefficients, present the polynomial, and grade solutions symbolically or as an appropriate solution object. Validate by substituting both roots.</w:t>
      </w:r>
    </w:p>
    <w:p>
      <w:pPr>
        <w:pStyle w:val="Heading2"/>
      </w:pPr>
      <w:r>
        <w:t>Pattern B: Chain-rule derivative</w:t>
      </w:r>
    </w:p>
    <w:p>
      <w:r>
        <w:t>Idea: assess recognition of nested composition. Generate an inner function and exponent with manageable coefficients. Ask first for structure or substitution if scaffolding is desired, then grade the derivative symbolically. Validate at one or more test points if practical.</w:t>
      </w:r>
    </w:p>
    <w:p>
      <w:pPr>
        <w:pStyle w:val="Heading2"/>
      </w:pPr>
      <w:r>
        <w:t>Pattern C: Conditional probability</w:t>
      </w:r>
    </w:p>
    <w:p>
      <w:r>
        <w:t>Idea: assess Bayes or conditional probability. Generate a valid two-way count table first. Derive all margins and conditional probabilities from the table. Never randomize the displayed counts and answer independently.</w:t>
      </w:r>
    </w:p>
    <w:p>
      <w:pPr>
        <w:pStyle w:val="Heading2"/>
      </w:pPr>
      <w:r>
        <w:t>Pattern D: Matched-pairs inference</w:t>
      </w:r>
    </w:p>
    <w:p>
      <w:r>
        <w:t>Idea: before/after measurements. Generate displayed pairs, calculate D = After - Before from those displayed numbers, then derive D-bar, sD, SE, df, t, and interval. Make the sign convention explicit in the prompt.</w:t>
      </w:r>
    </w:p>
    <w:p>
      <w:pPr>
        <w:pStyle w:val="Heading2"/>
      </w:pPr>
      <w:r>
        <w:t>Pattern E: Two-way ANOVA</w:t>
      </w:r>
    </w:p>
    <w:p>
      <w:r>
        <w:t>Idea: factorial experiment. Generate cell-level structure and replicate observations, derive cell/marginal means, then compute sums of squares and F statistics from the same data. Verify SS and df decomposition identities.</w:t>
      </w:r>
    </w:p>
    <w:p>
      <w:pPr>
        <w:pStyle w:val="Heading1"/>
      </w:pPr>
      <w:r>
        <w:t>14. Final Author Checklist</w:t>
      </w:r>
    </w:p>
    <w:p>
      <w:pPr>
        <w:pStyle w:val="Heading2"/>
      </w:pPr>
      <w:r>
        <w:t>Mathematical design</w:t>
      </w:r>
    </w:p>
    <w:p>
      <w:r>
        <w:t>☐ Learning objective is explicit.</w:t>
      </w:r>
    </w:p>
    <w:p>
      <w:r>
        <w:t>☐ Every randomized version is valid and solvable.</w:t>
      </w:r>
    </w:p>
    <w:p>
      <w:r>
        <w:t>☐ Special or degenerate cases are prevented.</w:t>
      </w:r>
    </w:p>
    <w:p>
      <w:r>
        <w:t>☐ Any sign convention is explicit.</w:t>
      </w:r>
    </w:p>
    <w:p>
      <w:pPr>
        <w:pStyle w:val="Heading2"/>
      </w:pPr>
      <w:r>
        <w:t>Display</w:t>
      </w:r>
    </w:p>
    <w:p>
      <w:r>
        <w:t>☐ Students see every required value.</w:t>
      </w:r>
    </w:p>
    <w:p>
      <w:r>
        <w:t>☐ Units and notation are clear.</w:t>
      </w:r>
    </w:p>
    <w:p>
      <w:r>
        <w:t>☐ Rounding instructions match the answer evaluator.</w:t>
      </w:r>
    </w:p>
    <w:p>
      <w:r>
        <w:t>☐ Displayed data and graded data are consistent.</w:t>
      </w:r>
    </w:p>
    <w:p>
      <w:pPr>
        <w:pStyle w:val="Heading2"/>
      </w:pPr>
      <w:r>
        <w:t>Evaluation</w:t>
      </w:r>
    </w:p>
    <w:p>
      <w:r>
        <w:t>☐ Tolerance is deliberate.</w:t>
      </w:r>
    </w:p>
    <w:p>
      <w:r>
        <w:t>☐ Symbolic equivalents are accepted where appropriate.</w:t>
      </w:r>
    </w:p>
    <w:p>
      <w:r>
        <w:t>☐ RadioButtons correct answers exactly match choices.</w:t>
      </w:r>
    </w:p>
    <w:p>
      <w:r>
        <w:t>☐ Every input is registered with ANS(...).</w:t>
      </w:r>
    </w:p>
    <w:p>
      <w:pPr>
        <w:pStyle w:val="Heading2"/>
      </w:pPr>
      <w:r>
        <w:t>Validation</w:t>
      </w:r>
    </w:p>
    <w:p>
      <w:r>
        <w:t>☐ Applicable mathematical identities hold.</w:t>
      </w:r>
    </w:p>
    <w:p>
      <w:r>
        <w:t>☐ Several random branches/seeds were checked.</w:t>
      </w:r>
    </w:p>
    <w:p>
      <w:r>
        <w:t>☐ No duplicated/ambiguous options appear.</w:t>
      </w:r>
    </w:p>
    <w:p>
      <w:r>
        <w:t>☐ HTML/hardcopy rendering is acceptable for the course.</w:t>
      </w:r>
    </w:p>
    <w:p>
      <w:pPr>
        <w:pStyle w:val="Heading1"/>
      </w:pPr>
      <w:r>
        <w:t>15. Portable Copilot Workflow for Instructors and TAs</w:t>
      </w:r>
    </w:p>
    <w:p>
      <w:r>
        <w:t>A new Copilot account does not have the migration conversation that produced these conventions. Transfer the durable knowledge by attaching WeBWorK_PG_Copilot_Instructions.md to the new conversation.</w:t>
      </w:r>
    </w:p>
    <w:tbl>
      <w:tblPr>
        <w:tblW w:type="auto" w:w="0"/>
        <w:jc w:val="center"/>
        <w:tblLook w:firstColumn="1" w:firstRow="1" w:lastColumn="0" w:lastRow="0" w:noHBand="0" w:noVBand="1" w:val="04A0"/>
      </w:tblPr>
      <w:tblGrid>
        <w:gridCol w:w="9878"/>
      </w:tblGrid>
      <w:tr>
        <w:tc>
          <w:tcPr>
            <w:tcW w:type="dxa" w:w="9878"/>
            <w:shd w:fill="EAF2F8"/>
            <w:tcMar>
              <w:top w:w="140" w:type="dxa"/>
              <w:start w:w="160" w:type="dxa"/>
              <w:bottom w:w="140" w:type="dxa"/>
              <w:end w:w="160" w:type="dxa"/>
            </w:tcMar>
          </w:tcPr>
          <w:p>
            <w:r>
              <w:rPr>
                <w:b/>
                <w:color w:val="17365D"/>
              </w:rPr>
              <w:t xml:space="preserve">Minimal workflow  </w:t>
            </w:r>
            <w:r>
              <w:t>Attach the Copilot instructions, describe the course/topic/learning objective and problem idea, ask for a complete production-ready .pg file, test it in WeBWorK, then paste any WeBWorK error back into Copilot for diagnosis.</w:t>
            </w:r>
          </w:p>
        </w:tc>
      </w:tr>
    </w:tbl>
    <w:p>
      <w:pPr>
        <w:pStyle w:val="Heading2"/>
      </w:pPr>
      <w:r>
        <w:t>Recommended prompt</w:t>
      </w:r>
    </w:p>
    <w:tbl>
      <w:tblPr>
        <w:tblW w:type="auto" w:w="0"/>
        <w:jc w:val="center"/>
        <w:tblLayout w:type="autofit"/>
        <w:tblLook w:firstColumn="1" w:firstRow="1" w:lastColumn="0" w:lastRow="0" w:noHBand="0" w:noVBand="1" w:val="04A0"/>
      </w:tblPr>
      <w:tblGrid>
        <w:gridCol w:w="9878"/>
      </w:tblGrid>
      <w:tr>
        <w:tc>
          <w:tcPr>
            <w:tcW w:type="dxa" w:w="9878"/>
            <w:shd w:fill="F3F6FA"/>
            <w:tcMar>
              <w:top w:w="120" w:type="dxa"/>
              <w:start w:w="140" w:type="dxa"/>
              <w:bottom w:w="120" w:type="dxa"/>
              <w:end w:w="140" w:type="dxa"/>
            </w:tcMar>
          </w:tcPr>
          <w:p>
            <w:pPr>
              <w:spacing w:after="0"/>
            </w:pPr>
            <w:r>
              <w:rPr>
                <w:rFonts w:ascii="Consolas" w:hAnsi="Consolas"/>
                <w:sz w:val="17"/>
              </w:rPr>
              <w:t>Read and follow the attached WeBWorK PG authoring instructions throughout this conversation.</w:t>
              <w:br/>
              <w:br/>
              <w:t>COURSE:</w:t>
              <w:br/>
              <w:t>TOPIC:</w:t>
              <w:br/>
              <w:t>LEARNING OBJECTIVE:</w:t>
              <w:br/>
              <w:t>PROBLEM IDEA:</w:t>
              <w:br/>
              <w:t>DIFFICULTY:</w:t>
              <w:br/>
              <w:t>QUESTION STYLE:</w:t>
              <w:br/>
              <w:t>RANDOMIZATION:</w:t>
              <w:br/>
              <w:t>CONSTRAINTS:</w:t>
              <w:br/>
              <w:br/>
              <w:t>Create a complete production-ready .pg file. Before finalizing, derive answers from displayed values, check degenerate random cases, verify answer evaluators and RadioButtons, verify mathematical invariants, verify ANS(...) registrations, and sanity-check multiple randomized branches.</w:t>
            </w:r>
          </w:p>
        </w:tc>
      </w:tr>
    </w:tbl>
    <w:p>
      <w:pPr>
        <w:pStyle w:val="Heading1"/>
      </w:pPr>
      <w:r>
        <w:t>16. Closing Principle</w:t>
      </w:r>
    </w:p>
    <w:p>
      <w:r>
        <w:rPr>
          <w:b/>
        </w:rPr>
        <w:t xml:space="preserve">A reliable WeBWorK problem is not merely code that compiles. </w:t>
      </w:r>
      <w:r>
        <w:t>It is a small mathematical model whose randomization, display, pedagogy, grading logic, and interpretation remain consistent with each other under every generated version.</w:t>
      </w:r>
    </w:p>
    <w:tbl>
      <w:tblPr>
        <w:tblW w:type="auto" w:w="0"/>
        <w:jc w:val="center"/>
        <w:tblLook w:firstColumn="1" w:firstRow="1" w:lastColumn="0" w:lastRow="0" w:noHBand="0" w:noVBand="1" w:val="04A0"/>
      </w:tblPr>
      <w:tblGrid>
        <w:gridCol w:w="9878"/>
      </w:tblGrid>
      <w:tr>
        <w:tc>
          <w:tcPr>
            <w:tcW w:type="dxa" w:w="9878"/>
            <w:shd w:fill="D9EAD3"/>
            <w:tcMar>
              <w:top w:w="140" w:type="dxa"/>
              <w:start w:w="160" w:type="dxa"/>
              <w:bottom w:w="140" w:type="dxa"/>
              <w:end w:w="160" w:type="dxa"/>
            </w:tcMar>
          </w:tcPr>
          <w:p>
            <w:r>
              <w:rPr>
                <w:b/>
                <w:color w:val="17365D"/>
              </w:rPr>
              <w:t xml:space="preserve">North star  </w:t>
            </w:r>
            <w:r>
              <w:t>Design the mathematics first. Generate from structure. Derive rather than hard-code. Grade what the student actually sees. Validate more than one random version.</w:t>
            </w:r>
          </w:p>
        </w:tc>
      </w:tr>
    </w:tbl>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WeBWorK PG Authoring Guide  |  Mathematics &amp; Statistics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Balagopal Pillai</dc:creator>
  <keywords/>
  <dc:description>generated by python-docx</dc:description>
  <lastModifiedBy>Balagopal Pillai</lastModifiedBy>
  <revision>1</revision>
  <dcterms:created xsi:type="dcterms:W3CDTF">2026-10-02T15:56:54.9023494Z</dcterms:created>
  <dcterms:modified xsi:type="dcterms:W3CDTF">2026-10-02T15:56:54.9023494Z</dcterms:modified>
  <category/>
</coreProperties>
</file>