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A1C3" w14:textId="77777777" w:rsidR="00894B42" w:rsidRPr="002168AF" w:rsidRDefault="00894B42">
      <w:pPr>
        <w:spacing w:after="800"/>
      </w:pPr>
    </w:p>
    <w:p w14:paraId="4459985F" w14:textId="77777777" w:rsidR="00894B42" w:rsidRPr="002168AF" w:rsidRDefault="00000000">
      <w:pPr>
        <w:spacing w:after="40"/>
        <w:jc w:val="center"/>
      </w:pPr>
      <w:r w:rsidRPr="002168AF">
        <w:rPr>
          <w:b/>
          <w:bCs/>
          <w:sz w:val="52"/>
          <w:szCs w:val="52"/>
        </w:rPr>
        <w:t>CREDIT RISK STRATEGIC</w:t>
      </w:r>
    </w:p>
    <w:p w14:paraId="42F9C122" w14:textId="6BB298FB" w:rsidR="002168AF" w:rsidRDefault="00000000" w:rsidP="002168AF">
      <w:pPr>
        <w:spacing w:after="40"/>
        <w:jc w:val="center"/>
      </w:pPr>
      <w:r w:rsidRPr="002168AF">
        <w:rPr>
          <w:b/>
          <w:bCs/>
          <w:sz w:val="52"/>
          <w:szCs w:val="52"/>
        </w:rPr>
        <w:t>RECOMMENDATIONS REPORT</w:t>
      </w:r>
    </w:p>
    <w:p w14:paraId="4FA2FB21" w14:textId="77777777" w:rsidR="002168AF" w:rsidRPr="002168AF" w:rsidRDefault="002168AF" w:rsidP="002168AF">
      <w:pPr>
        <w:spacing w:after="40"/>
      </w:pPr>
    </w:p>
    <w:p w14:paraId="1E6E4832" w14:textId="77777777" w:rsidR="00894B42" w:rsidRPr="002168AF" w:rsidRDefault="00000000">
      <w:pPr>
        <w:pStyle w:val="Heading1"/>
        <w:pBdr>
          <w:bottom w:val="single" w:sz="6" w:space="1" w:color="1F4E79"/>
        </w:pBdr>
      </w:pPr>
      <w:r w:rsidRPr="002168AF">
        <w:t>Executive Summary</w:t>
      </w:r>
    </w:p>
    <w:p w14:paraId="07D46F99" w14:textId="77777777" w:rsidR="00894B42" w:rsidRPr="002168AF" w:rsidRDefault="00000000">
      <w:pPr>
        <w:spacing w:after="120"/>
        <w:jc w:val="both"/>
      </w:pPr>
      <w:r w:rsidRPr="002168AF">
        <w:t>This report translates five discrete findings from the EDA of a 2,000,000-record loan dataset into actionable, independently evidenced recommendations for the Credit Risk team to implement within FY 2026–27. Each recommendation stands on its own body of statistical evidence and prescribes a specific, measurable action.</w:t>
      </w:r>
    </w:p>
    <w:p w14:paraId="7BC9F45B" w14:textId="77777777" w:rsidR="00894B42" w:rsidRPr="002168AF" w:rsidRDefault="00000000">
      <w:pPr>
        <w:spacing w:after="120"/>
        <w:jc w:val="both"/>
      </w:pPr>
      <w:r w:rsidRPr="002168AF">
        <w:t xml:space="preserve">The dataset spans nine source tables — </w:t>
      </w:r>
      <w:proofErr w:type="spellStart"/>
      <w:r w:rsidRPr="002168AF">
        <w:t>loans_master</w:t>
      </w:r>
      <w:proofErr w:type="spellEnd"/>
      <w:r w:rsidRPr="002168AF">
        <w:t xml:space="preserve">, </w:t>
      </w:r>
      <w:proofErr w:type="spellStart"/>
      <w:r w:rsidRPr="002168AF">
        <w:t>loan_performance</w:t>
      </w:r>
      <w:proofErr w:type="spellEnd"/>
      <w:r w:rsidRPr="002168AF">
        <w:t xml:space="preserve">, </w:t>
      </w:r>
      <w:proofErr w:type="spellStart"/>
      <w:r w:rsidRPr="002168AF">
        <w:t>payment_history</w:t>
      </w:r>
      <w:proofErr w:type="spellEnd"/>
      <w:r w:rsidRPr="002168AF">
        <w:t xml:space="preserve">, </w:t>
      </w:r>
      <w:proofErr w:type="spellStart"/>
      <w:r w:rsidRPr="002168AF">
        <w:t>monthly_emi_track</w:t>
      </w:r>
      <w:proofErr w:type="spellEnd"/>
      <w:r w:rsidRPr="002168AF">
        <w:t xml:space="preserve">, </w:t>
      </w:r>
      <w:proofErr w:type="spellStart"/>
      <w:r w:rsidRPr="002168AF">
        <w:t>loan_enquiry_bureau</w:t>
      </w:r>
      <w:proofErr w:type="spellEnd"/>
      <w:r w:rsidRPr="002168AF">
        <w:t xml:space="preserve">, </w:t>
      </w:r>
      <w:proofErr w:type="spellStart"/>
      <w:r w:rsidRPr="002168AF">
        <w:t>customer_bureau</w:t>
      </w:r>
      <w:proofErr w:type="spellEnd"/>
      <w:r w:rsidRPr="002168AF">
        <w:t xml:space="preserve">, </w:t>
      </w:r>
      <w:proofErr w:type="spellStart"/>
      <w:r w:rsidRPr="002168AF">
        <w:t>credit_card_behavior</w:t>
      </w:r>
      <w:proofErr w:type="spellEnd"/>
      <w:r w:rsidRPr="002168AF">
        <w:t xml:space="preserve">, </w:t>
      </w:r>
      <w:proofErr w:type="spellStart"/>
      <w:r w:rsidRPr="002168AF">
        <w:t>collateral_assets</w:t>
      </w:r>
      <w:proofErr w:type="spellEnd"/>
      <w:r w:rsidRPr="002168AF">
        <w:t xml:space="preserve">, and </w:t>
      </w:r>
      <w:proofErr w:type="spellStart"/>
      <w:r w:rsidRPr="002168AF">
        <w:t>branch_region_economy</w:t>
      </w:r>
      <w:proofErr w:type="spellEnd"/>
      <w:r w:rsidRPr="002168AF">
        <w:t xml:space="preserve"> — providing a 360-degree view of borrower risk across four dimensions: creditworthiness (CIBIL), repayment burden (EMI-to-income), product risk (loan grade), and use-of-funds risk (loan purpose).</w:t>
      </w:r>
    </w:p>
    <w:p w14:paraId="0DB0349B" w14:textId="77777777" w:rsidR="00894B42" w:rsidRPr="002168AF" w:rsidRDefault="00894B4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4400"/>
      </w:tblGrid>
      <w:tr w:rsidR="00894B42" w:rsidRPr="002168AF" w14:paraId="1FF197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E75D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B871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C933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Key EDA Driver</w:t>
            </w:r>
          </w:p>
        </w:tc>
      </w:tr>
      <w:tr w:rsidR="00894B42" w:rsidRPr="002168AF" w14:paraId="13B7CB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9CF1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R-1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7708" w14:textId="77777777" w:rsidR="00894B42" w:rsidRPr="002168AF" w:rsidRDefault="00000000">
            <w:r w:rsidRPr="002168AF">
              <w:rPr>
                <w:sz w:val="20"/>
                <w:szCs w:val="20"/>
              </w:rPr>
              <w:t>Implement a Tiered CIBIL Score Threshold Policy with Multi-Feature Override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5190" w14:textId="77777777" w:rsidR="00894B42" w:rsidRPr="002168AF" w:rsidRDefault="00000000">
            <w:r w:rsidRPr="002168AF">
              <w:rPr>
                <w:i/>
                <w:iCs/>
                <w:sz w:val="20"/>
                <w:szCs w:val="20"/>
              </w:rPr>
              <w:t xml:space="preserve">KDE separation; Cohen's d; distributional overlap in </w:t>
            </w:r>
            <w:proofErr w:type="spellStart"/>
            <w:r w:rsidRPr="002168AF">
              <w:rPr>
                <w:i/>
                <w:iCs/>
                <w:sz w:val="20"/>
                <w:szCs w:val="20"/>
              </w:rPr>
              <w:t>cibil_score</w:t>
            </w:r>
            <w:proofErr w:type="spellEnd"/>
          </w:p>
        </w:tc>
      </w:tr>
      <w:tr w:rsidR="00894B42" w:rsidRPr="002168AF" w14:paraId="55C890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D443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R-2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B8AE" w14:textId="77777777" w:rsidR="00894B42" w:rsidRPr="002168AF" w:rsidRDefault="00000000">
            <w:r w:rsidRPr="002168AF">
              <w:rPr>
                <w:sz w:val="20"/>
                <w:szCs w:val="20"/>
              </w:rPr>
              <w:t>Enforce a Hard EMI-to-Income Cap and Introduce Graduated Rate Pricing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9061" w14:textId="77777777" w:rsidR="00894B42" w:rsidRPr="002168AF" w:rsidRDefault="00000000">
            <w:proofErr w:type="spellStart"/>
            <w:r w:rsidRPr="002168AF">
              <w:rPr>
                <w:i/>
                <w:iCs/>
                <w:sz w:val="20"/>
                <w:szCs w:val="20"/>
              </w:rPr>
              <w:t>emi_to_income_ratio</w:t>
            </w:r>
            <w:proofErr w:type="spellEnd"/>
            <w:r w:rsidRPr="002168AF">
              <w:rPr>
                <w:i/>
                <w:iCs/>
                <w:sz w:val="20"/>
                <w:szCs w:val="20"/>
              </w:rPr>
              <w:t xml:space="preserve"> correlation with </w:t>
            </w:r>
            <w:proofErr w:type="spellStart"/>
            <w:r w:rsidRPr="002168AF">
              <w:rPr>
                <w:i/>
                <w:iCs/>
                <w:sz w:val="20"/>
                <w:szCs w:val="20"/>
              </w:rPr>
              <w:t>lgd_pct</w:t>
            </w:r>
            <w:proofErr w:type="spellEnd"/>
            <w:r w:rsidRPr="002168AF">
              <w:rPr>
                <w:i/>
                <w:iCs/>
                <w:sz w:val="20"/>
                <w:szCs w:val="20"/>
              </w:rPr>
              <w:t>; boxplot median differences</w:t>
            </w:r>
          </w:p>
        </w:tc>
      </w:tr>
      <w:tr w:rsidR="00894B42" w:rsidRPr="002168AF" w14:paraId="355415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1F73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R-3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3A6B" w14:textId="77777777" w:rsidR="00894B42" w:rsidRPr="002168AF" w:rsidRDefault="00000000">
            <w:r w:rsidRPr="002168AF">
              <w:rPr>
                <w:sz w:val="20"/>
                <w:szCs w:val="20"/>
              </w:rPr>
              <w:t>Introduce Risk-Based Loan Grade Pricing with a Sub-Grade Cut-Off at Grade 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0B2F" w14:textId="77777777" w:rsidR="00894B42" w:rsidRPr="002168AF" w:rsidRDefault="00000000">
            <w:r w:rsidRPr="002168AF">
              <w:rPr>
                <w:i/>
                <w:iCs/>
                <w:sz w:val="20"/>
                <w:szCs w:val="20"/>
              </w:rPr>
              <w:t>Monotonic default rate escalation across grades A–G; largest single-step jump</w:t>
            </w:r>
          </w:p>
        </w:tc>
      </w:tr>
      <w:tr w:rsidR="00894B42" w:rsidRPr="002168AF" w14:paraId="4C3E78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04EA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R-4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79BF" w14:textId="77777777" w:rsidR="00894B42" w:rsidRPr="002168AF" w:rsidRDefault="00000000">
            <w:r w:rsidRPr="002168AF">
              <w:rPr>
                <w:sz w:val="20"/>
                <w:szCs w:val="20"/>
              </w:rPr>
              <w:t>Restrict or Re-Price Three High-Default Loan Purposes and Create a Purpose-Specific Scorecard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6E3A" w14:textId="77777777" w:rsidR="00894B42" w:rsidRPr="002168AF" w:rsidRDefault="00000000">
            <w:r w:rsidRPr="002168AF">
              <w:rPr>
                <w:i/>
                <w:iCs/>
                <w:sz w:val="20"/>
                <w:szCs w:val="20"/>
              </w:rPr>
              <w:t>Horizontal bar chart of purpose-level default rates; highest-to-lowest ratio</w:t>
            </w:r>
          </w:p>
        </w:tc>
      </w:tr>
      <w:tr w:rsidR="00894B42" w:rsidRPr="002168AF" w14:paraId="1C5D98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EA6A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R-5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B2BC" w14:textId="77777777" w:rsidR="00894B42" w:rsidRPr="002168AF" w:rsidRDefault="00000000">
            <w:r w:rsidRPr="002168AF">
              <w:rPr>
                <w:sz w:val="20"/>
                <w:szCs w:val="20"/>
              </w:rPr>
              <w:t>Build a COVID and Macro-Shock Stress-Testing Framework Tied to RBI Repo Rate Monitoring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A20C" w14:textId="77777777" w:rsidR="00894B42" w:rsidRPr="002168AF" w:rsidRDefault="00000000">
            <w:r w:rsidRPr="002168AF">
              <w:rPr>
                <w:i/>
                <w:iCs/>
                <w:sz w:val="20"/>
                <w:szCs w:val="20"/>
              </w:rPr>
              <w:t>COVID-19 2020 default spike; dual-axis repo rate vs. default rate lag analysis</w:t>
            </w:r>
          </w:p>
        </w:tc>
      </w:tr>
    </w:tbl>
    <w:p w14:paraId="4DB7EC0F" w14:textId="77777777" w:rsidR="00894B42" w:rsidRPr="002168AF" w:rsidRDefault="00894B42">
      <w:pPr>
        <w:spacing w:after="120"/>
      </w:pPr>
    </w:p>
    <w:p w14:paraId="23E7DDE8" w14:textId="77777777" w:rsidR="00894B42" w:rsidRPr="002168AF" w:rsidRDefault="00000000">
      <w:r w:rsidRPr="002168AF">
        <w:br/>
      </w:r>
    </w:p>
    <w:p w14:paraId="1138DAAF" w14:textId="77777777" w:rsidR="00894B42" w:rsidRPr="002168AF" w:rsidRDefault="00000000">
      <w:pPr>
        <w:pStyle w:val="Heading1"/>
        <w:pBdr>
          <w:bottom w:val="single" w:sz="6" w:space="1" w:color="1F4E79"/>
        </w:pBdr>
      </w:pPr>
      <w:r w:rsidRPr="002168AF">
        <w:t>Dataset &amp; EDA Overview</w:t>
      </w:r>
    </w:p>
    <w:p w14:paraId="4D2A3767" w14:textId="77777777" w:rsidR="00894B42" w:rsidRPr="002168AF" w:rsidRDefault="00000000">
      <w:pPr>
        <w:pStyle w:val="Heading2"/>
      </w:pPr>
      <w:r w:rsidRPr="002168AF">
        <w:t>Data Scope</w:t>
      </w:r>
    </w:p>
    <w:p w14:paraId="679C3D5D" w14:textId="77777777" w:rsidR="00894B42" w:rsidRPr="002168AF" w:rsidRDefault="00000000">
      <w:pPr>
        <w:spacing w:after="120"/>
        <w:jc w:val="both"/>
      </w:pPr>
      <w:r w:rsidRPr="002168AF">
        <w:lastRenderedPageBreak/>
        <w:t xml:space="preserve">The EDA was conducted on a merged dataset of 2,000,000 loan records produced by sequential left-joins of nine source tables on </w:t>
      </w:r>
      <w:proofErr w:type="spellStart"/>
      <w:r w:rsidRPr="002168AF">
        <w:t>loan_id</w:t>
      </w:r>
      <w:proofErr w:type="spellEnd"/>
      <w:r w:rsidRPr="002168AF">
        <w:t>. The integrity assertion — that every join preserved exactly 2,000,000 rows — confirmed zero many-to-many record explosion. Orphan detection across all eight satellite tables returned zero orphan records, indicating complete referential integrity.</w:t>
      </w:r>
    </w:p>
    <w:p w14:paraId="6FEAF58B" w14:textId="77777777" w:rsidR="00894B42" w:rsidRPr="002168AF" w:rsidRDefault="00894B4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0DD410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D0C1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4E50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52D0D7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FC9B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Records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94B0" w14:textId="77777777" w:rsidR="00894B42" w:rsidRPr="002168AF" w:rsidRDefault="00000000">
            <w:r w:rsidRPr="002168AF">
              <w:rPr>
                <w:sz w:val="20"/>
                <w:szCs w:val="20"/>
              </w:rPr>
              <w:t>2,000,000 loans after nine-table merge</w:t>
            </w:r>
          </w:p>
        </w:tc>
      </w:tr>
      <w:tr w:rsidR="00894B42" w:rsidRPr="002168AF" w14:paraId="1A51A0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0F71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Source Tables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1D51" w14:textId="77777777" w:rsidR="00894B42" w:rsidRPr="002168AF" w:rsidRDefault="00000000">
            <w:proofErr w:type="spellStart"/>
            <w:r w:rsidRPr="002168AF">
              <w:rPr>
                <w:sz w:val="20"/>
                <w:szCs w:val="20"/>
              </w:rPr>
              <w:t>loans_master</w:t>
            </w:r>
            <w:proofErr w:type="spellEnd"/>
            <w:r w:rsidRPr="002168AF">
              <w:rPr>
                <w:sz w:val="20"/>
                <w:szCs w:val="20"/>
              </w:rPr>
              <w:t xml:space="preserve">, </w:t>
            </w:r>
            <w:proofErr w:type="spellStart"/>
            <w:r w:rsidRPr="002168AF">
              <w:rPr>
                <w:sz w:val="20"/>
                <w:szCs w:val="20"/>
              </w:rPr>
              <w:t>loan_performance</w:t>
            </w:r>
            <w:proofErr w:type="spellEnd"/>
            <w:r w:rsidRPr="002168AF">
              <w:rPr>
                <w:sz w:val="20"/>
                <w:szCs w:val="20"/>
              </w:rPr>
              <w:t xml:space="preserve">, </w:t>
            </w:r>
            <w:proofErr w:type="spellStart"/>
            <w:r w:rsidRPr="002168AF">
              <w:rPr>
                <w:sz w:val="20"/>
                <w:szCs w:val="20"/>
              </w:rPr>
              <w:t>payment_history</w:t>
            </w:r>
            <w:proofErr w:type="spellEnd"/>
            <w:r w:rsidRPr="002168AF">
              <w:rPr>
                <w:sz w:val="20"/>
                <w:szCs w:val="20"/>
              </w:rPr>
              <w:t xml:space="preserve">, </w:t>
            </w:r>
            <w:proofErr w:type="spellStart"/>
            <w:r w:rsidRPr="002168AF">
              <w:rPr>
                <w:sz w:val="20"/>
                <w:szCs w:val="20"/>
              </w:rPr>
              <w:t>monthly_emi_track</w:t>
            </w:r>
            <w:proofErr w:type="spellEnd"/>
            <w:r w:rsidRPr="002168AF">
              <w:rPr>
                <w:sz w:val="20"/>
                <w:szCs w:val="20"/>
              </w:rPr>
              <w:t xml:space="preserve">, </w:t>
            </w:r>
            <w:proofErr w:type="spellStart"/>
            <w:r w:rsidRPr="002168AF">
              <w:rPr>
                <w:sz w:val="20"/>
                <w:szCs w:val="20"/>
              </w:rPr>
              <w:t>loan_enquiry_bureau</w:t>
            </w:r>
            <w:proofErr w:type="spellEnd"/>
            <w:r w:rsidRPr="002168AF">
              <w:rPr>
                <w:sz w:val="20"/>
                <w:szCs w:val="20"/>
              </w:rPr>
              <w:t xml:space="preserve">, </w:t>
            </w:r>
            <w:proofErr w:type="spellStart"/>
            <w:r w:rsidRPr="002168AF">
              <w:rPr>
                <w:sz w:val="20"/>
                <w:szCs w:val="20"/>
              </w:rPr>
              <w:t>customer_bureau</w:t>
            </w:r>
            <w:proofErr w:type="spellEnd"/>
            <w:r w:rsidRPr="002168AF">
              <w:rPr>
                <w:sz w:val="20"/>
                <w:szCs w:val="20"/>
              </w:rPr>
              <w:t xml:space="preserve">, </w:t>
            </w:r>
            <w:proofErr w:type="spellStart"/>
            <w:r w:rsidRPr="002168AF">
              <w:rPr>
                <w:sz w:val="20"/>
                <w:szCs w:val="20"/>
              </w:rPr>
              <w:t>credit_card_behavior</w:t>
            </w:r>
            <w:proofErr w:type="spellEnd"/>
            <w:r w:rsidRPr="002168AF">
              <w:rPr>
                <w:sz w:val="20"/>
                <w:szCs w:val="20"/>
              </w:rPr>
              <w:t xml:space="preserve">, </w:t>
            </w:r>
            <w:proofErr w:type="spellStart"/>
            <w:r w:rsidRPr="002168AF">
              <w:rPr>
                <w:sz w:val="20"/>
                <w:szCs w:val="20"/>
              </w:rPr>
              <w:t>collateral_assets</w:t>
            </w:r>
            <w:proofErr w:type="spellEnd"/>
            <w:r w:rsidRPr="002168AF">
              <w:rPr>
                <w:sz w:val="20"/>
                <w:szCs w:val="20"/>
              </w:rPr>
              <w:t xml:space="preserve">, </w:t>
            </w:r>
            <w:proofErr w:type="spellStart"/>
            <w:r w:rsidRPr="002168AF">
              <w:rPr>
                <w:sz w:val="20"/>
                <w:szCs w:val="20"/>
              </w:rPr>
              <w:t>branch_region_economy</w:t>
            </w:r>
            <w:proofErr w:type="spellEnd"/>
          </w:p>
        </w:tc>
      </w:tr>
      <w:tr w:rsidR="00894B42" w:rsidRPr="002168AF" w14:paraId="39B385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23A6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Overall Default 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7411" w14:textId="77777777" w:rsidR="00894B42" w:rsidRPr="002168AF" w:rsidRDefault="00000000">
            <w:r w:rsidRPr="002168AF">
              <w:rPr>
                <w:sz w:val="20"/>
                <w:szCs w:val="20"/>
              </w:rPr>
              <w:t>Approximately 21.1% (</w:t>
            </w:r>
            <w:proofErr w:type="spellStart"/>
            <w:r w:rsidRPr="002168AF">
              <w:rPr>
                <w:sz w:val="20"/>
                <w:szCs w:val="20"/>
              </w:rPr>
              <w:t>loan_status</w:t>
            </w:r>
            <w:proofErr w:type="spellEnd"/>
            <w:r w:rsidRPr="002168AF">
              <w:rPr>
                <w:sz w:val="20"/>
                <w:szCs w:val="20"/>
              </w:rPr>
              <w:t xml:space="preserve"> = 1); class imbalance ratio ~3.7:1 (performing to default)</w:t>
            </w:r>
          </w:p>
        </w:tc>
      </w:tr>
      <w:tr w:rsidR="00894B42" w:rsidRPr="002168AF" w14:paraId="522160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D5A9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Key Target Variable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913B" w14:textId="77777777" w:rsidR="00894B42" w:rsidRPr="002168AF" w:rsidRDefault="00000000">
            <w:proofErr w:type="spellStart"/>
            <w:r w:rsidRPr="002168AF">
              <w:rPr>
                <w:sz w:val="20"/>
                <w:szCs w:val="20"/>
              </w:rPr>
              <w:t>loan_status</w:t>
            </w:r>
            <w:proofErr w:type="spellEnd"/>
            <w:r w:rsidRPr="002168AF">
              <w:rPr>
                <w:sz w:val="20"/>
                <w:szCs w:val="20"/>
              </w:rPr>
              <w:t xml:space="preserve"> (binary: 0 = Performing, 1 = Default); </w:t>
            </w:r>
            <w:proofErr w:type="spellStart"/>
            <w:r w:rsidRPr="002168AF">
              <w:rPr>
                <w:sz w:val="20"/>
                <w:szCs w:val="20"/>
              </w:rPr>
              <w:t>lgd_pct</w:t>
            </w:r>
            <w:proofErr w:type="spellEnd"/>
            <w:r w:rsidRPr="002168AF">
              <w:rPr>
                <w:sz w:val="20"/>
                <w:szCs w:val="20"/>
              </w:rPr>
              <w:t xml:space="preserve"> (continuous Loss Given Default)</w:t>
            </w:r>
          </w:p>
        </w:tc>
      </w:tr>
      <w:tr w:rsidR="00894B42" w:rsidRPr="002168AF" w14:paraId="573938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119C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Data Quality Issues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6AE2" w14:textId="77777777" w:rsidR="00894B42" w:rsidRPr="002168AF" w:rsidRDefault="00000000">
            <w:r w:rsidRPr="002168AF">
              <w:rPr>
                <w:sz w:val="20"/>
                <w:szCs w:val="20"/>
              </w:rPr>
              <w:t xml:space="preserve">Eight injected quality issues identified and remediated; </w:t>
            </w:r>
            <w:proofErr w:type="spellStart"/>
            <w:r w:rsidRPr="002168AF">
              <w:rPr>
                <w:sz w:val="20"/>
                <w:szCs w:val="20"/>
              </w:rPr>
              <w:t>dirty_flag</w:t>
            </w:r>
            <w:proofErr w:type="spellEnd"/>
            <w:r w:rsidRPr="002168AF">
              <w:rPr>
                <w:sz w:val="20"/>
                <w:szCs w:val="20"/>
              </w:rPr>
              <w:t xml:space="preserve"> column created for traceability</w:t>
            </w:r>
          </w:p>
        </w:tc>
      </w:tr>
      <w:tr w:rsidR="00894B42" w:rsidRPr="002168AF" w14:paraId="0B3C61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26CF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Missing Value Treatment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B248" w14:textId="77777777" w:rsidR="00894B42" w:rsidRPr="002168AF" w:rsidRDefault="00000000">
            <w:proofErr w:type="spellStart"/>
            <w:r w:rsidRPr="002168AF">
              <w:rPr>
                <w:sz w:val="20"/>
                <w:szCs w:val="20"/>
              </w:rPr>
              <w:t>mths_since_last_delinq</w:t>
            </w:r>
            <w:proofErr w:type="spellEnd"/>
            <w:r w:rsidRPr="002168AF">
              <w:rPr>
                <w:sz w:val="20"/>
                <w:szCs w:val="20"/>
              </w:rPr>
              <w:t xml:space="preserve"> → MNAR, sentinel 999; </w:t>
            </w:r>
            <w:proofErr w:type="spellStart"/>
            <w:r w:rsidRPr="002168AF">
              <w:rPr>
                <w:sz w:val="20"/>
                <w:szCs w:val="20"/>
              </w:rPr>
              <w:t>mort_acc</w:t>
            </w:r>
            <w:proofErr w:type="spellEnd"/>
            <w:r w:rsidRPr="002168AF">
              <w:rPr>
                <w:sz w:val="20"/>
                <w:szCs w:val="20"/>
              </w:rPr>
              <w:t xml:space="preserve"> → MAR, group median by </w:t>
            </w:r>
            <w:proofErr w:type="spellStart"/>
            <w:r w:rsidRPr="002168AF">
              <w:rPr>
                <w:sz w:val="20"/>
                <w:szCs w:val="20"/>
              </w:rPr>
              <w:t>home_ownership</w:t>
            </w:r>
            <w:proofErr w:type="spellEnd"/>
            <w:r w:rsidRPr="002168AF">
              <w:rPr>
                <w:sz w:val="20"/>
                <w:szCs w:val="20"/>
              </w:rPr>
              <w:t xml:space="preserve">; </w:t>
            </w:r>
            <w:proofErr w:type="spellStart"/>
            <w:r w:rsidRPr="002168AF">
              <w:rPr>
                <w:sz w:val="20"/>
                <w:szCs w:val="20"/>
              </w:rPr>
              <w:t>emp_length_years</w:t>
            </w:r>
            <w:proofErr w:type="spellEnd"/>
            <w:r w:rsidRPr="002168AF">
              <w:rPr>
                <w:sz w:val="20"/>
                <w:szCs w:val="20"/>
              </w:rPr>
              <w:t xml:space="preserve"> → MAR, group median by </w:t>
            </w:r>
            <w:proofErr w:type="spellStart"/>
            <w:r w:rsidRPr="002168AF">
              <w:rPr>
                <w:sz w:val="20"/>
                <w:szCs w:val="20"/>
              </w:rPr>
              <w:t>emp_title</w:t>
            </w:r>
            <w:proofErr w:type="spellEnd"/>
            <w:r w:rsidRPr="002168AF">
              <w:rPr>
                <w:sz w:val="20"/>
                <w:szCs w:val="20"/>
              </w:rPr>
              <w:t xml:space="preserve">; </w:t>
            </w:r>
            <w:proofErr w:type="spellStart"/>
            <w:r w:rsidRPr="002168AF">
              <w:rPr>
                <w:sz w:val="20"/>
                <w:szCs w:val="20"/>
              </w:rPr>
              <w:t>il_util_pct</w:t>
            </w:r>
            <w:proofErr w:type="spellEnd"/>
            <w:r w:rsidRPr="002168AF">
              <w:rPr>
                <w:sz w:val="20"/>
                <w:szCs w:val="20"/>
              </w:rPr>
              <w:t xml:space="preserve"> → MCAR, fill 0</w:t>
            </w:r>
          </w:p>
        </w:tc>
      </w:tr>
      <w:tr w:rsidR="00894B42" w:rsidRPr="002168AF" w14:paraId="38137D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C013" w14:textId="77777777" w:rsidR="00894B42" w:rsidRPr="002168AF" w:rsidRDefault="00000000">
            <w:proofErr w:type="spellStart"/>
            <w:r w:rsidRPr="002168AF">
              <w:rPr>
                <w:b/>
                <w:bCs/>
                <w:sz w:val="20"/>
                <w:szCs w:val="20"/>
              </w:rPr>
              <w:t>Winsorisation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5AFE" w14:textId="77777777" w:rsidR="00894B42" w:rsidRPr="002168AF" w:rsidRDefault="00000000">
            <w:r w:rsidRPr="002168AF">
              <w:rPr>
                <w:sz w:val="20"/>
                <w:szCs w:val="20"/>
              </w:rPr>
              <w:t>Applied at 1st–99th percentile to the six most skewed numeric columns to reduce outlier distortion</w:t>
            </w:r>
          </w:p>
        </w:tc>
      </w:tr>
    </w:tbl>
    <w:p w14:paraId="5EC9CAB6" w14:textId="77777777" w:rsidR="00894B42" w:rsidRPr="002168AF" w:rsidRDefault="00894B42">
      <w:pPr>
        <w:spacing w:after="120"/>
      </w:pPr>
    </w:p>
    <w:p w14:paraId="7E729908" w14:textId="77777777" w:rsidR="00894B42" w:rsidRPr="002168AF" w:rsidRDefault="00000000">
      <w:pPr>
        <w:pStyle w:val="Heading2"/>
      </w:pPr>
      <w:r w:rsidRPr="002168AF">
        <w:t>Feature Engineering Summary</w:t>
      </w:r>
    </w:p>
    <w:p w14:paraId="0D65BDD9" w14:textId="77777777" w:rsidR="00894B42" w:rsidRPr="002168AF" w:rsidRDefault="00000000">
      <w:pPr>
        <w:spacing w:after="120"/>
        <w:jc w:val="both"/>
      </w:pPr>
      <w:r w:rsidRPr="002168AF">
        <w:t>Phase 3 of the EDA constructed ten engineered features across three groups:</w:t>
      </w:r>
    </w:p>
    <w:p w14:paraId="1330DDB7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Repayment Burden: </w:t>
      </w:r>
      <w:proofErr w:type="spellStart"/>
      <w:r w:rsidRPr="002168AF">
        <w:t>emi_to_income_ratio</w:t>
      </w:r>
      <w:proofErr w:type="spellEnd"/>
      <w:r w:rsidRPr="002168AF">
        <w:t xml:space="preserve">, </w:t>
      </w:r>
      <w:proofErr w:type="spellStart"/>
      <w:r w:rsidRPr="002168AF">
        <w:t>loan_to_income_ratio</w:t>
      </w:r>
      <w:proofErr w:type="spellEnd"/>
      <w:r w:rsidRPr="002168AF">
        <w:t xml:space="preserve">, </w:t>
      </w:r>
      <w:proofErr w:type="spellStart"/>
      <w:r w:rsidRPr="002168AF">
        <w:t>rate_spread_pct</w:t>
      </w:r>
      <w:proofErr w:type="spellEnd"/>
      <w:r w:rsidRPr="002168AF">
        <w:t xml:space="preserve">, </w:t>
      </w:r>
      <w:proofErr w:type="spellStart"/>
      <w:r w:rsidRPr="002168AF">
        <w:t>real_interest_rate</w:t>
      </w:r>
      <w:proofErr w:type="spellEnd"/>
    </w:p>
    <w:p w14:paraId="54B66B94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Bureau Behaviour: </w:t>
      </w:r>
      <w:proofErr w:type="spellStart"/>
      <w:r w:rsidRPr="002168AF">
        <w:t>credit_util_composite</w:t>
      </w:r>
      <w:proofErr w:type="spellEnd"/>
      <w:r w:rsidRPr="002168AF">
        <w:t xml:space="preserve">, </w:t>
      </w:r>
      <w:proofErr w:type="spellStart"/>
      <w:r w:rsidRPr="002168AF">
        <w:t>delinq_severity_score</w:t>
      </w:r>
      <w:proofErr w:type="spellEnd"/>
      <w:r w:rsidRPr="002168AF">
        <w:t xml:space="preserve">, </w:t>
      </w:r>
      <w:proofErr w:type="spellStart"/>
      <w:r w:rsidRPr="002168AF">
        <w:t>enq_velocity_score</w:t>
      </w:r>
      <w:proofErr w:type="spellEnd"/>
    </w:p>
    <w:p w14:paraId="7549EC25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Income &amp; Collateral: </w:t>
      </w:r>
      <w:proofErr w:type="spellStart"/>
      <w:r w:rsidRPr="002168AF">
        <w:t>income_stability_ratio</w:t>
      </w:r>
      <w:proofErr w:type="spellEnd"/>
      <w:r w:rsidRPr="002168AF">
        <w:t xml:space="preserve">, </w:t>
      </w:r>
      <w:proofErr w:type="spellStart"/>
      <w:r w:rsidRPr="002168AF">
        <w:t>credit_depth_score</w:t>
      </w:r>
      <w:proofErr w:type="spellEnd"/>
      <w:r w:rsidRPr="002168AF">
        <w:t xml:space="preserve">, </w:t>
      </w:r>
      <w:proofErr w:type="spellStart"/>
      <w:r w:rsidRPr="002168AF">
        <w:t>collateral_coverage_ratio</w:t>
      </w:r>
      <w:proofErr w:type="spellEnd"/>
    </w:p>
    <w:p w14:paraId="2FF55069" w14:textId="77777777" w:rsidR="00894B42" w:rsidRPr="002168AF" w:rsidRDefault="00000000">
      <w:pPr>
        <w:spacing w:after="120"/>
        <w:jc w:val="both"/>
      </w:pPr>
      <w:r w:rsidRPr="002168AF">
        <w:t xml:space="preserve">Among all engineered features, </w:t>
      </w:r>
      <w:proofErr w:type="spellStart"/>
      <w:r w:rsidRPr="002168AF">
        <w:t>emi_to_income_ratio</w:t>
      </w:r>
      <w:proofErr w:type="spellEnd"/>
      <w:r w:rsidRPr="002168AF">
        <w:t xml:space="preserve"> exhibited the strongest correlation with </w:t>
      </w:r>
      <w:proofErr w:type="spellStart"/>
      <w:r w:rsidRPr="002168AF">
        <w:t>lgd_pct</w:t>
      </w:r>
      <w:proofErr w:type="spellEnd"/>
      <w:r w:rsidRPr="002168AF">
        <w:t>, making it the single most predictive repayment-burden signal available in the dataset.</w:t>
      </w:r>
    </w:p>
    <w:p w14:paraId="269803A2" w14:textId="77777777" w:rsidR="00894B42" w:rsidRPr="002168AF" w:rsidRDefault="00000000">
      <w:r w:rsidRPr="002168AF">
        <w:br/>
      </w:r>
    </w:p>
    <w:p w14:paraId="360DF18A" w14:textId="77777777" w:rsidR="002168AF" w:rsidRDefault="002168AF">
      <w:pPr>
        <w:pStyle w:val="Heading1"/>
        <w:pBdr>
          <w:bottom w:val="single" w:sz="6" w:space="1" w:color="1F4E79"/>
        </w:pBdr>
      </w:pPr>
    </w:p>
    <w:p w14:paraId="79E7D608" w14:textId="77777777" w:rsidR="002168AF" w:rsidRDefault="002168AF">
      <w:pPr>
        <w:pStyle w:val="Heading1"/>
        <w:pBdr>
          <w:bottom w:val="single" w:sz="6" w:space="1" w:color="1F4E79"/>
        </w:pBdr>
      </w:pPr>
    </w:p>
    <w:p w14:paraId="15F8A3AD" w14:textId="77777777" w:rsidR="002168AF" w:rsidRDefault="002168AF">
      <w:pPr>
        <w:pStyle w:val="Heading1"/>
        <w:pBdr>
          <w:bottom w:val="single" w:sz="6" w:space="1" w:color="1F4E79"/>
        </w:pBdr>
      </w:pPr>
    </w:p>
    <w:p w14:paraId="30D031B3" w14:textId="4E0AF8D3" w:rsidR="00894B42" w:rsidRPr="002168AF" w:rsidRDefault="00000000">
      <w:pPr>
        <w:pStyle w:val="Heading1"/>
        <w:pBdr>
          <w:bottom w:val="single" w:sz="6" w:space="1" w:color="1F4E79"/>
        </w:pBdr>
      </w:pPr>
      <w:r w:rsidRPr="002168AF">
        <w:lastRenderedPageBreak/>
        <w:t>Recommendation R-1: Tiered CIBIL Score Threshold Policy with Multi-Feature Override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4B42" w:rsidRPr="002168AF" w14:paraId="6E7BD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F5D52" w14:textId="77777777" w:rsidR="00894B42" w:rsidRPr="002168AF" w:rsidRDefault="00000000">
            <w:r w:rsidRPr="002168AF">
              <w:rPr>
                <w:b/>
                <w:bCs/>
              </w:rPr>
              <w:t xml:space="preserve">EDA Source:  </w:t>
            </w:r>
            <w:r w:rsidRPr="002168AF">
              <w:t xml:space="preserve">Phase 2 (b) — KDE curves of </w:t>
            </w:r>
            <w:proofErr w:type="spellStart"/>
            <w:r w:rsidRPr="002168AF">
              <w:t>cibil_score</w:t>
            </w:r>
            <w:proofErr w:type="spellEnd"/>
            <w:r w:rsidRPr="002168AF">
              <w:t xml:space="preserve"> by </w:t>
            </w:r>
            <w:proofErr w:type="spellStart"/>
            <w:r w:rsidRPr="002168AF">
              <w:t>loan_status</w:t>
            </w:r>
            <w:proofErr w:type="spellEnd"/>
            <w:r w:rsidRPr="002168AF">
              <w:t>; Cohen's d effect size; distributional overlap analysis</w:t>
            </w:r>
          </w:p>
        </w:tc>
      </w:tr>
    </w:tbl>
    <w:p w14:paraId="20CA89D7" w14:textId="77777777" w:rsidR="00894B42" w:rsidRPr="002168AF" w:rsidRDefault="00894B42">
      <w:pPr>
        <w:spacing w:after="120"/>
      </w:pPr>
    </w:p>
    <w:p w14:paraId="1516AFAF" w14:textId="77777777" w:rsidR="00894B42" w:rsidRPr="002168AF" w:rsidRDefault="00000000">
      <w:pPr>
        <w:pStyle w:val="Heading2"/>
      </w:pPr>
      <w:r w:rsidRPr="002168AF">
        <w:t>1.1  EDA Evidence</w:t>
      </w:r>
    </w:p>
    <w:p w14:paraId="225E975B" w14:textId="77777777" w:rsidR="00894B42" w:rsidRPr="002168AF" w:rsidRDefault="00000000">
      <w:pPr>
        <w:spacing w:after="120"/>
        <w:jc w:val="both"/>
      </w:pPr>
      <w:r w:rsidRPr="002168AF">
        <w:t xml:space="preserve">The KDE analysis of </w:t>
      </w:r>
      <w:proofErr w:type="spellStart"/>
      <w:r w:rsidRPr="002168AF">
        <w:t>cibil_score</w:t>
      </w:r>
      <w:proofErr w:type="spellEnd"/>
      <w:r w:rsidRPr="002168AF">
        <w:t xml:space="preserve"> across defaulted (</w:t>
      </w:r>
      <w:proofErr w:type="spellStart"/>
      <w:r w:rsidRPr="002168AF">
        <w:t>loan_status</w:t>
      </w:r>
      <w:proofErr w:type="spellEnd"/>
      <w:r w:rsidRPr="002168AF">
        <w:t xml:space="preserve"> = 1) and performing (</w:t>
      </w:r>
      <w:proofErr w:type="spellStart"/>
      <w:r w:rsidRPr="002168AF">
        <w:t>loan_status</w:t>
      </w:r>
      <w:proofErr w:type="spellEnd"/>
      <w:r w:rsidRPr="002168AF">
        <w:t xml:space="preserve"> = 0) loans produced the following quantified findings: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7E7C52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3C2D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5413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381449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B813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Mean CIBIL — Performing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5517" w14:textId="77777777" w:rsidR="00894B42" w:rsidRPr="002168AF" w:rsidRDefault="00000000">
            <w:r w:rsidRPr="002168AF">
              <w:rPr>
                <w:sz w:val="20"/>
                <w:szCs w:val="20"/>
              </w:rPr>
              <w:t>Approximately 693–710 (performing cohort mean)</w:t>
            </w:r>
          </w:p>
        </w:tc>
      </w:tr>
      <w:tr w:rsidR="00894B42" w:rsidRPr="002168AF" w14:paraId="5D51A6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AF57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Mean CIBIL — Default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886E" w14:textId="77777777" w:rsidR="00894B42" w:rsidRPr="002168AF" w:rsidRDefault="00000000">
            <w:r w:rsidRPr="002168AF">
              <w:rPr>
                <w:sz w:val="20"/>
                <w:szCs w:val="20"/>
              </w:rPr>
              <w:t>Approximately 638–655 (default cohort mean)</w:t>
            </w:r>
          </w:p>
        </w:tc>
      </w:tr>
      <w:tr w:rsidR="00894B42" w:rsidRPr="002168AF" w14:paraId="024490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DC04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Mean Separation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4D62" w14:textId="77777777" w:rsidR="00894B42" w:rsidRPr="002168AF" w:rsidRDefault="00000000">
            <w:r w:rsidRPr="002168AF">
              <w:rPr>
                <w:sz w:val="20"/>
                <w:szCs w:val="20"/>
              </w:rPr>
              <w:t>Approximately 50–60 score points between the two distributions</w:t>
            </w:r>
          </w:p>
        </w:tc>
      </w:tr>
      <w:tr w:rsidR="00894B42" w:rsidRPr="002168AF" w14:paraId="1E11B7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E1F8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Cohen's 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AF79" w14:textId="77777777" w:rsidR="00894B42" w:rsidRPr="002168AF" w:rsidRDefault="00000000">
            <w:r w:rsidRPr="002168AF">
              <w:rPr>
                <w:sz w:val="20"/>
                <w:szCs w:val="20"/>
              </w:rPr>
              <w:t>Moderate effect size (d ≈ 0.5–0.7), confirming meaningful but incomplete separation</w:t>
            </w:r>
          </w:p>
        </w:tc>
      </w:tr>
      <w:tr w:rsidR="00894B42" w:rsidRPr="002168AF" w14:paraId="6BAF24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934D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Distributional Overlap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B575" w14:textId="77777777" w:rsidR="00894B42" w:rsidRPr="002168AF" w:rsidRDefault="00000000">
            <w:r w:rsidRPr="002168AF">
              <w:rPr>
                <w:sz w:val="20"/>
                <w:szCs w:val="20"/>
              </w:rPr>
              <w:t xml:space="preserve">Substantial overlap region: a significant share of defaults </w:t>
            </w:r>
            <w:proofErr w:type="gramStart"/>
            <w:r w:rsidRPr="002168AF">
              <w:rPr>
                <w:sz w:val="20"/>
                <w:szCs w:val="20"/>
              </w:rPr>
              <w:t>occur</w:t>
            </w:r>
            <w:proofErr w:type="gramEnd"/>
            <w:r w:rsidRPr="002168AF">
              <w:rPr>
                <w:sz w:val="20"/>
                <w:szCs w:val="20"/>
              </w:rPr>
              <w:t xml:space="preserve"> within CIBIL bands that also contain performing loans</w:t>
            </w:r>
          </w:p>
        </w:tc>
      </w:tr>
      <w:tr w:rsidR="00894B42" w:rsidRPr="002168AF" w14:paraId="26B8CE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7759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 xml:space="preserve">Scatter — </w:t>
            </w:r>
            <w:proofErr w:type="spellStart"/>
            <w:r w:rsidRPr="002168AF">
              <w:rPr>
                <w:b/>
                <w:bCs/>
                <w:sz w:val="20"/>
                <w:szCs w:val="20"/>
              </w:rPr>
              <w:t>cibil_score</w:t>
            </w:r>
            <w:proofErr w:type="spellEnd"/>
            <w:r w:rsidRPr="002168AF">
              <w:rPr>
                <w:b/>
                <w:bCs/>
                <w:sz w:val="20"/>
                <w:szCs w:val="20"/>
              </w:rPr>
              <w:t xml:space="preserve"> vs. </w:t>
            </w:r>
            <w:proofErr w:type="spellStart"/>
            <w:r w:rsidRPr="002168AF">
              <w:rPr>
                <w:b/>
                <w:bCs/>
                <w:sz w:val="20"/>
                <w:szCs w:val="20"/>
              </w:rPr>
              <w:t>lgd_pct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7E1" w14:textId="77777777" w:rsidR="00894B42" w:rsidRPr="002168AF" w:rsidRDefault="00000000">
            <w:r w:rsidRPr="002168AF">
              <w:rPr>
                <w:sz w:val="20"/>
                <w:szCs w:val="20"/>
              </w:rPr>
              <w:t xml:space="preserve">Negative Pearson r (higher CIBIL associated with lower loss severity), but the correlation is weak-to-moderate, indicating </w:t>
            </w:r>
            <w:proofErr w:type="spellStart"/>
            <w:r w:rsidRPr="002168AF">
              <w:rPr>
                <w:sz w:val="20"/>
                <w:szCs w:val="20"/>
              </w:rPr>
              <w:t>cibil_score</w:t>
            </w:r>
            <w:proofErr w:type="spellEnd"/>
            <w:r w:rsidRPr="002168AF">
              <w:rPr>
                <w:sz w:val="20"/>
                <w:szCs w:val="20"/>
              </w:rPr>
              <w:t xml:space="preserve"> alone is insufficient for LGD prediction</w:t>
            </w:r>
          </w:p>
        </w:tc>
      </w:tr>
    </w:tbl>
    <w:p w14:paraId="1AD0FB3C" w14:textId="77777777" w:rsidR="00894B42" w:rsidRPr="002168AF" w:rsidRDefault="00894B42">
      <w:pPr>
        <w:spacing w:after="120"/>
      </w:pPr>
    </w:p>
    <w:p w14:paraId="5E42EA89" w14:textId="77777777" w:rsidR="00894B42" w:rsidRPr="002168AF" w:rsidRDefault="00000000">
      <w:pPr>
        <w:spacing w:after="120"/>
        <w:jc w:val="both"/>
      </w:pPr>
      <w:r w:rsidRPr="002168AF">
        <w:t>The substantial distributional overlap is the critical insight: a single hard CIBIL cut-off will simultaneously reject creditworthy borrowers with low scores and approve high-risk borrowers who happen to have elevated scores. A pure CIBIL gate is therefore both over-inclusive and under-inclusive.</w:t>
      </w:r>
    </w:p>
    <w:p w14:paraId="1E28C927" w14:textId="77777777" w:rsidR="002168AF" w:rsidRPr="002168AF" w:rsidRDefault="002168AF">
      <w:pPr>
        <w:spacing w:after="120"/>
        <w:jc w:val="both"/>
      </w:pPr>
    </w:p>
    <w:p w14:paraId="73C951C8" w14:textId="77777777" w:rsidR="002168AF" w:rsidRPr="002168AF" w:rsidRDefault="002168AF">
      <w:pPr>
        <w:spacing w:after="120"/>
        <w:jc w:val="both"/>
      </w:pPr>
    </w:p>
    <w:p w14:paraId="482C7D62" w14:textId="77777777" w:rsidR="00894B42" w:rsidRPr="002168AF" w:rsidRDefault="00000000">
      <w:pPr>
        <w:pStyle w:val="Heading2"/>
      </w:pPr>
      <w:r w:rsidRPr="002168AF">
        <w:t>1.2  Recommendation</w:t>
      </w:r>
    </w:p>
    <w:p w14:paraId="6DD2FCDA" w14:textId="77777777" w:rsidR="00894B42" w:rsidRPr="002168AF" w:rsidRDefault="00000000">
      <w:pPr>
        <w:spacing w:after="120"/>
        <w:jc w:val="both"/>
      </w:pPr>
      <w:r w:rsidRPr="002168AF">
        <w:t xml:space="preserve">The Credit Risk team should replace any existing single-threshold CIBIL approval gate with a three-tier system that combines CIBIL score bands with mandatory supporting </w:t>
      </w:r>
      <w:proofErr w:type="gramStart"/>
      <w:r w:rsidRPr="002168AF">
        <w:t>features, and</w:t>
      </w:r>
      <w:proofErr w:type="gramEnd"/>
      <w:r w:rsidRPr="002168AF">
        <w:t xml:space="preserve"> reserves a manual-override track for borderline cases.</w:t>
      </w:r>
    </w:p>
    <w:p w14:paraId="523B38BF" w14:textId="77777777" w:rsidR="00894B42" w:rsidRPr="002168AF" w:rsidRDefault="00000000">
      <w:pPr>
        <w:pStyle w:val="Heading3"/>
      </w:pPr>
      <w:r w:rsidRPr="002168AF">
        <w:t>Tier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4F530E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D379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ABDD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507816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07D1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Tier 1 — Auto-Approve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B21F" w14:textId="77777777" w:rsidR="00894B42" w:rsidRPr="002168AF" w:rsidRDefault="00000000">
            <w:r w:rsidRPr="002168AF">
              <w:rPr>
                <w:sz w:val="20"/>
                <w:szCs w:val="20"/>
              </w:rPr>
              <w:t xml:space="preserve">CIBIL ≥ 720 AND </w:t>
            </w:r>
            <w:proofErr w:type="spellStart"/>
            <w:r w:rsidRPr="002168AF">
              <w:rPr>
                <w:sz w:val="20"/>
                <w:szCs w:val="20"/>
              </w:rPr>
              <w:t>emi_to_income_ratio</w:t>
            </w:r>
            <w:proofErr w:type="spellEnd"/>
            <w:r w:rsidRPr="002168AF">
              <w:rPr>
                <w:sz w:val="20"/>
                <w:szCs w:val="20"/>
              </w:rPr>
              <w:t xml:space="preserve"> ≤ 0.40 AND delinq_2yrs = 0 → Straight-through processing, no additional underwriting</w:t>
            </w:r>
          </w:p>
        </w:tc>
      </w:tr>
      <w:tr w:rsidR="00894B42" w:rsidRPr="002168AF" w14:paraId="3FA037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1B8C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lastRenderedPageBreak/>
              <w:t>Tier 2 — Enhanced Underwriting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80DC" w14:textId="77777777" w:rsidR="00894B42" w:rsidRPr="002168AF" w:rsidRDefault="00000000">
            <w:r w:rsidRPr="002168AF">
              <w:rPr>
                <w:sz w:val="20"/>
                <w:szCs w:val="20"/>
              </w:rPr>
              <w:t xml:space="preserve">CIBIL 650–719 OR any single adverse flag (delinq_2yrs ≥ 1, </w:t>
            </w:r>
            <w:proofErr w:type="spellStart"/>
            <w:r w:rsidRPr="002168AF">
              <w:rPr>
                <w:sz w:val="20"/>
                <w:szCs w:val="20"/>
              </w:rPr>
              <w:t>enq_velocity_score</w:t>
            </w:r>
            <w:proofErr w:type="spellEnd"/>
            <w:r w:rsidRPr="002168AF">
              <w:rPr>
                <w:sz w:val="20"/>
                <w:szCs w:val="20"/>
              </w:rPr>
              <w:t xml:space="preserve"> &gt; 8) → Mandatory income verification, collateral assessment, employment tenure check</w:t>
            </w:r>
          </w:p>
        </w:tc>
      </w:tr>
      <w:tr w:rsidR="00894B42" w:rsidRPr="002168AF" w14:paraId="66C3C6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E443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Tier 3 — Credit Committee Review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97CF" w14:textId="77777777" w:rsidR="00894B42" w:rsidRPr="002168AF" w:rsidRDefault="00000000">
            <w:r w:rsidRPr="002168AF">
              <w:rPr>
                <w:sz w:val="20"/>
                <w:szCs w:val="20"/>
              </w:rPr>
              <w:t>CIBIL &lt; 650 → Full committee review; approval only with compensating factors (</w:t>
            </w:r>
            <w:proofErr w:type="spellStart"/>
            <w:r w:rsidRPr="002168AF">
              <w:rPr>
                <w:sz w:val="20"/>
                <w:szCs w:val="20"/>
              </w:rPr>
              <w:t>collateral_coverage_ratio</w:t>
            </w:r>
            <w:proofErr w:type="spellEnd"/>
            <w:r w:rsidRPr="002168AF">
              <w:rPr>
                <w:sz w:val="20"/>
                <w:szCs w:val="20"/>
              </w:rPr>
              <w:t xml:space="preserve"> &gt; 1.5 OR secured loan purpose)</w:t>
            </w:r>
          </w:p>
        </w:tc>
      </w:tr>
    </w:tbl>
    <w:p w14:paraId="7F9979C3" w14:textId="77777777" w:rsidR="00894B42" w:rsidRPr="002168AF" w:rsidRDefault="00894B42">
      <w:pPr>
        <w:spacing w:after="120"/>
      </w:pPr>
    </w:p>
    <w:p w14:paraId="3DE118FD" w14:textId="77777777" w:rsidR="00894B42" w:rsidRPr="002168AF" w:rsidRDefault="00000000">
      <w:pPr>
        <w:pStyle w:val="Heading3"/>
      </w:pPr>
      <w:r w:rsidRPr="002168AF">
        <w:t>Multi-Feature Override Triggers</w:t>
      </w:r>
    </w:p>
    <w:p w14:paraId="7F887228" w14:textId="77777777" w:rsidR="00894B42" w:rsidRPr="002168AF" w:rsidRDefault="00000000">
      <w:pPr>
        <w:spacing w:after="120"/>
        <w:jc w:val="both"/>
      </w:pPr>
      <w:r w:rsidRPr="002168AF">
        <w:t>Because the CIBIL overlap means some Tier 1 candidates are genuinely high-risk, the following override conditions must be checked even for high-CIBIL applicants:</w:t>
      </w:r>
    </w:p>
    <w:p w14:paraId="309056FA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2168AF">
        <w:t>emi_to_income_ratio</w:t>
      </w:r>
      <w:proofErr w:type="spellEnd"/>
      <w:r w:rsidRPr="002168AF">
        <w:t xml:space="preserve"> &gt; 0.50 → Escalate to Tier 2 regardless of CIBIL</w:t>
      </w:r>
    </w:p>
    <w:p w14:paraId="2C6584C5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2168AF">
        <w:t>delinq_severity_score</w:t>
      </w:r>
      <w:proofErr w:type="spellEnd"/>
      <w:r w:rsidRPr="002168AF">
        <w:t xml:space="preserve"> &gt; 5 → Escalate to Tier 2 regardless of CIBIL</w:t>
      </w:r>
    </w:p>
    <w:p w14:paraId="4DA34C23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2168AF">
        <w:t>enq_velocity_score</w:t>
      </w:r>
      <w:proofErr w:type="spellEnd"/>
      <w:r w:rsidRPr="002168AF">
        <w:t xml:space="preserve"> &gt; 12 (high recent credit-seeking) → Flag for manual review</w:t>
      </w:r>
    </w:p>
    <w:p w14:paraId="0CACBB00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2168AF">
        <w:t>credit_util_composite</w:t>
      </w:r>
      <w:proofErr w:type="spellEnd"/>
      <w:r w:rsidRPr="002168AF">
        <w:t xml:space="preserve"> &gt; 80% → Flag for manual review</w:t>
      </w:r>
    </w:p>
    <w:p w14:paraId="598EB222" w14:textId="77777777" w:rsidR="00894B42" w:rsidRPr="002168AF" w:rsidRDefault="00000000">
      <w:pPr>
        <w:pStyle w:val="Heading2"/>
      </w:pPr>
      <w:r w:rsidRPr="002168AF">
        <w:t>1.3  Expected Outcome</w:t>
      </w:r>
    </w:p>
    <w:p w14:paraId="5254B8F6" w14:textId="77777777" w:rsidR="00894B42" w:rsidRPr="002168AF" w:rsidRDefault="00000000">
      <w:pPr>
        <w:spacing w:after="120"/>
        <w:jc w:val="both"/>
      </w:pPr>
      <w:r w:rsidRPr="002168AF">
        <w:t>Implementing this tiered system is projected to reduce false-negative approvals (high-CIBIL borrowers who subsequently default) by targeting the overlap population with additional scrutiny, while maintaining approval rates for genuinely creditworthy Tier 1 borrowers. The multi-feature override addresses the EDA finding that CIBIL alone cannot distinguish all defaulters within the 650–720 overlap band.</w:t>
      </w:r>
    </w:p>
    <w:p w14:paraId="1748A3D0" w14:textId="77777777" w:rsidR="00894B42" w:rsidRPr="002168AF" w:rsidRDefault="00000000">
      <w:pPr>
        <w:pStyle w:val="Heading2"/>
      </w:pPr>
      <w:r w:rsidRPr="002168AF">
        <w:t>1.4  Implementation Roadmap</w:t>
      </w:r>
    </w:p>
    <w:p w14:paraId="58C1325C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Q1 FY 2026–27: Calibrate tier boundaries using the full 2M-record dataset; conduct back-testing on the historical default population to validate the proposed cut-offs</w:t>
      </w:r>
    </w:p>
    <w:p w14:paraId="06B5DE6C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Q2 FY 2026–27: Pilot the three-tier framework on new applications in two high-volume branches</w:t>
      </w:r>
    </w:p>
    <w:p w14:paraId="0A229766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Q3 FY 2026–27: Review pilot Gini coefficient improvement; adjust thresholds if required</w:t>
      </w:r>
    </w:p>
    <w:p w14:paraId="6C16E670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Q4 FY 2026–27: Full rollout; integrate multi-feature override logic into the loan origination system</w:t>
      </w:r>
    </w:p>
    <w:p w14:paraId="45935458" w14:textId="77777777" w:rsidR="00894B42" w:rsidRPr="002168AF" w:rsidRDefault="00894B42">
      <w:pPr>
        <w:spacing w:after="120"/>
      </w:pPr>
    </w:p>
    <w:p w14:paraId="40177EF9" w14:textId="77777777" w:rsidR="00894B42" w:rsidRPr="002168AF" w:rsidRDefault="00000000">
      <w:r w:rsidRPr="002168AF">
        <w:br/>
      </w:r>
    </w:p>
    <w:p w14:paraId="6E7A0A2C" w14:textId="77777777" w:rsidR="002168AF" w:rsidRDefault="002168AF"/>
    <w:p w14:paraId="2316E9D1" w14:textId="77777777" w:rsidR="002168AF" w:rsidRDefault="002168AF"/>
    <w:p w14:paraId="51FF35E6" w14:textId="77777777" w:rsidR="002168AF" w:rsidRDefault="002168AF"/>
    <w:p w14:paraId="5801FC4B" w14:textId="77777777" w:rsidR="002168AF" w:rsidRDefault="002168AF"/>
    <w:p w14:paraId="1C6202D2" w14:textId="77777777" w:rsidR="002168AF" w:rsidRPr="002168AF" w:rsidRDefault="002168AF"/>
    <w:p w14:paraId="23BA3A6F" w14:textId="77777777" w:rsidR="002168AF" w:rsidRPr="002168AF" w:rsidRDefault="002168AF"/>
    <w:p w14:paraId="20190E09" w14:textId="77777777" w:rsidR="002168AF" w:rsidRPr="002168AF" w:rsidRDefault="002168AF"/>
    <w:p w14:paraId="606EE97A" w14:textId="77777777" w:rsidR="00894B42" w:rsidRPr="002168AF" w:rsidRDefault="00000000">
      <w:pPr>
        <w:pStyle w:val="Heading1"/>
        <w:pBdr>
          <w:bottom w:val="single" w:sz="6" w:space="1" w:color="1F4E79"/>
        </w:pBdr>
      </w:pPr>
      <w:r w:rsidRPr="002168AF">
        <w:lastRenderedPageBreak/>
        <w:t>Recommendation R-2: Hard EMI-to-Income Cap and Graduated Rate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4B42" w:rsidRPr="002168AF" w14:paraId="0603B0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FD10D" w14:textId="77777777" w:rsidR="00894B42" w:rsidRPr="002168AF" w:rsidRDefault="00000000">
            <w:r w:rsidRPr="002168AF">
              <w:rPr>
                <w:b/>
                <w:bCs/>
              </w:rPr>
              <w:t xml:space="preserve">EDA Source:  </w:t>
            </w:r>
            <w:r w:rsidRPr="002168AF">
              <w:t xml:space="preserve">Phase 3 (a) — </w:t>
            </w:r>
            <w:proofErr w:type="spellStart"/>
            <w:r w:rsidRPr="002168AF">
              <w:t>emi_to_income_ratio</w:t>
            </w:r>
            <w:proofErr w:type="spellEnd"/>
            <w:r w:rsidRPr="002168AF">
              <w:t xml:space="preserve"> correlation with </w:t>
            </w:r>
            <w:proofErr w:type="spellStart"/>
            <w:r w:rsidRPr="002168AF">
              <w:t>lgd_pct</w:t>
            </w:r>
            <w:proofErr w:type="spellEnd"/>
            <w:r w:rsidRPr="002168AF">
              <w:t xml:space="preserve">; Phase 2 (e) — boxplot median differences between default and performing groups on </w:t>
            </w:r>
            <w:proofErr w:type="spellStart"/>
            <w:r w:rsidRPr="002168AF">
              <w:t>int_rate</w:t>
            </w:r>
            <w:proofErr w:type="spellEnd"/>
            <w:r w:rsidRPr="002168AF">
              <w:t xml:space="preserve"> and </w:t>
            </w:r>
            <w:proofErr w:type="spellStart"/>
            <w:r w:rsidRPr="002168AF">
              <w:t>dti</w:t>
            </w:r>
            <w:proofErr w:type="spellEnd"/>
          </w:p>
        </w:tc>
      </w:tr>
    </w:tbl>
    <w:p w14:paraId="5696CAA2" w14:textId="77777777" w:rsidR="00894B42" w:rsidRPr="002168AF" w:rsidRDefault="00894B42">
      <w:pPr>
        <w:spacing w:after="120"/>
      </w:pPr>
    </w:p>
    <w:p w14:paraId="71E8822A" w14:textId="77777777" w:rsidR="00894B42" w:rsidRPr="002168AF" w:rsidRDefault="00000000">
      <w:pPr>
        <w:pStyle w:val="Heading2"/>
      </w:pPr>
      <w:r w:rsidRPr="002168AF">
        <w:t>2.1  EDA Evidence</w:t>
      </w:r>
    </w:p>
    <w:p w14:paraId="7FD672E0" w14:textId="77777777" w:rsidR="00894B42" w:rsidRPr="002168AF" w:rsidRDefault="00000000">
      <w:pPr>
        <w:spacing w:after="120"/>
        <w:jc w:val="both"/>
      </w:pPr>
      <w:r w:rsidRPr="002168AF">
        <w:t xml:space="preserve">The </w:t>
      </w:r>
      <w:proofErr w:type="spellStart"/>
      <w:r w:rsidRPr="002168AF">
        <w:t>emi_to_income_ratio</w:t>
      </w:r>
      <w:proofErr w:type="spellEnd"/>
      <w:r w:rsidRPr="002168AF">
        <w:t xml:space="preserve"> feature — constructed as </w:t>
      </w:r>
      <w:proofErr w:type="spellStart"/>
      <w:r w:rsidRPr="002168AF">
        <w:t>installment_inr</w:t>
      </w:r>
      <w:proofErr w:type="spellEnd"/>
      <w:r w:rsidRPr="002168AF">
        <w:t xml:space="preserve"> ÷ (</w:t>
      </w:r>
      <w:proofErr w:type="spellStart"/>
      <w:r w:rsidRPr="002168AF">
        <w:t>annual_inc_inr</w:t>
      </w:r>
      <w:proofErr w:type="spellEnd"/>
      <w:r w:rsidRPr="002168AF">
        <w:t xml:space="preserve"> ÷ 12) — was identified as the single feature with the strongest correlation with </w:t>
      </w:r>
      <w:proofErr w:type="spellStart"/>
      <w:r w:rsidRPr="002168AF">
        <w:t>lgd_pct</w:t>
      </w:r>
      <w:proofErr w:type="spellEnd"/>
      <w:r w:rsidRPr="002168AF">
        <w:t xml:space="preserve"> among all four engineered repayment-burden metrics: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323F9E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F1AF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BF96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6570E4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D49E" w14:textId="77777777" w:rsidR="00894B42" w:rsidRPr="002168AF" w:rsidRDefault="00000000">
            <w:proofErr w:type="spellStart"/>
            <w:r w:rsidRPr="002168AF">
              <w:rPr>
                <w:b/>
                <w:bCs/>
                <w:sz w:val="20"/>
                <w:szCs w:val="20"/>
              </w:rPr>
              <w:t>emi_to_income_ratio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8205" w14:textId="77777777" w:rsidR="00894B42" w:rsidRPr="002168AF" w:rsidRDefault="00000000">
            <w:r w:rsidRPr="002168AF">
              <w:rPr>
                <w:sz w:val="20"/>
                <w:szCs w:val="20"/>
              </w:rPr>
              <w:t xml:space="preserve">Strongest positive correlation with </w:t>
            </w:r>
            <w:proofErr w:type="spellStart"/>
            <w:r w:rsidRPr="002168AF">
              <w:rPr>
                <w:sz w:val="20"/>
                <w:szCs w:val="20"/>
              </w:rPr>
              <w:t>lgd_pct</w:t>
            </w:r>
            <w:proofErr w:type="spellEnd"/>
            <w:r w:rsidRPr="002168AF">
              <w:rPr>
                <w:sz w:val="20"/>
                <w:szCs w:val="20"/>
              </w:rPr>
              <w:t xml:space="preserve"> among all repayment-burden features</w:t>
            </w:r>
          </w:p>
        </w:tc>
      </w:tr>
      <w:tr w:rsidR="00894B42" w:rsidRPr="002168AF" w14:paraId="3A2C0C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0838" w14:textId="77777777" w:rsidR="00894B42" w:rsidRPr="002168AF" w:rsidRDefault="00000000">
            <w:proofErr w:type="spellStart"/>
            <w:r w:rsidRPr="002168AF">
              <w:rPr>
                <w:b/>
                <w:bCs/>
                <w:sz w:val="20"/>
                <w:szCs w:val="20"/>
              </w:rPr>
              <w:t>loan_to_income_ratio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12DA" w14:textId="77777777" w:rsidR="00894B42" w:rsidRPr="002168AF" w:rsidRDefault="00000000">
            <w:r w:rsidRPr="002168AF">
              <w:rPr>
                <w:sz w:val="20"/>
                <w:szCs w:val="20"/>
              </w:rPr>
              <w:t>Second strongest; reflects total debt load relative to annual income</w:t>
            </w:r>
          </w:p>
        </w:tc>
      </w:tr>
      <w:tr w:rsidR="00894B42" w:rsidRPr="002168AF" w14:paraId="349356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82FC" w14:textId="77777777" w:rsidR="00894B42" w:rsidRPr="002168AF" w:rsidRDefault="00000000">
            <w:proofErr w:type="spellStart"/>
            <w:r w:rsidRPr="002168AF">
              <w:rPr>
                <w:b/>
                <w:bCs/>
                <w:sz w:val="20"/>
                <w:szCs w:val="20"/>
              </w:rPr>
              <w:t>rate_spread_pct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DE35" w14:textId="77777777" w:rsidR="00894B42" w:rsidRPr="002168AF" w:rsidRDefault="00000000">
            <w:r w:rsidRPr="002168AF">
              <w:rPr>
                <w:sz w:val="20"/>
                <w:szCs w:val="20"/>
              </w:rPr>
              <w:t>Moderate correlation (</w:t>
            </w:r>
            <w:proofErr w:type="spellStart"/>
            <w:r w:rsidRPr="002168AF">
              <w:rPr>
                <w:sz w:val="20"/>
                <w:szCs w:val="20"/>
              </w:rPr>
              <w:t>int_rate_pct</w:t>
            </w:r>
            <w:proofErr w:type="spellEnd"/>
            <w:r w:rsidRPr="002168AF">
              <w:rPr>
                <w:sz w:val="20"/>
                <w:szCs w:val="20"/>
              </w:rPr>
              <w:t xml:space="preserve"> minus </w:t>
            </w:r>
            <w:proofErr w:type="spellStart"/>
            <w:r w:rsidRPr="002168AF">
              <w:rPr>
                <w:sz w:val="20"/>
                <w:szCs w:val="20"/>
              </w:rPr>
              <w:t>rbi_repo_rate_pct</w:t>
            </w:r>
            <w:proofErr w:type="spellEnd"/>
            <w:r w:rsidRPr="002168AF">
              <w:rPr>
                <w:sz w:val="20"/>
                <w:szCs w:val="20"/>
              </w:rPr>
              <w:t>)</w:t>
            </w:r>
          </w:p>
        </w:tc>
      </w:tr>
      <w:tr w:rsidR="00894B42" w:rsidRPr="002168AF" w14:paraId="61DB8A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64A8" w14:textId="77777777" w:rsidR="00894B42" w:rsidRPr="002168AF" w:rsidRDefault="00000000">
            <w:proofErr w:type="spellStart"/>
            <w:r w:rsidRPr="002168AF">
              <w:rPr>
                <w:b/>
                <w:bCs/>
                <w:sz w:val="20"/>
                <w:szCs w:val="20"/>
              </w:rPr>
              <w:t>real_interest_rate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4AFD" w14:textId="77777777" w:rsidR="00894B42" w:rsidRPr="002168AF" w:rsidRDefault="00000000">
            <w:r w:rsidRPr="002168AF">
              <w:rPr>
                <w:sz w:val="20"/>
                <w:szCs w:val="20"/>
              </w:rPr>
              <w:t>Weakest among the four (</w:t>
            </w:r>
            <w:proofErr w:type="spellStart"/>
            <w:r w:rsidRPr="002168AF">
              <w:rPr>
                <w:sz w:val="20"/>
                <w:szCs w:val="20"/>
              </w:rPr>
              <w:t>int_rate_pct</w:t>
            </w:r>
            <w:proofErr w:type="spellEnd"/>
            <w:r w:rsidRPr="002168AF">
              <w:rPr>
                <w:sz w:val="20"/>
                <w:szCs w:val="20"/>
              </w:rPr>
              <w:t xml:space="preserve"> minus </w:t>
            </w:r>
            <w:proofErr w:type="spellStart"/>
            <w:r w:rsidRPr="002168AF">
              <w:rPr>
                <w:sz w:val="20"/>
                <w:szCs w:val="20"/>
              </w:rPr>
              <w:t>cpi_inflation_pct</w:t>
            </w:r>
            <w:proofErr w:type="spellEnd"/>
            <w:r w:rsidRPr="002168AF">
              <w:rPr>
                <w:sz w:val="20"/>
                <w:szCs w:val="20"/>
              </w:rPr>
              <w:t>)</w:t>
            </w:r>
          </w:p>
        </w:tc>
      </w:tr>
      <w:tr w:rsidR="00894B42" w:rsidRPr="002168AF" w14:paraId="3535DD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D825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 xml:space="preserve">Boxplot — </w:t>
            </w:r>
            <w:proofErr w:type="spellStart"/>
            <w:r w:rsidRPr="002168AF">
              <w:rPr>
                <w:b/>
                <w:bCs/>
                <w:sz w:val="20"/>
                <w:szCs w:val="20"/>
              </w:rPr>
              <w:t>dti</w:t>
            </w:r>
            <w:proofErr w:type="spellEnd"/>
            <w:r w:rsidRPr="002168AF">
              <w:rPr>
                <w:b/>
                <w:bCs/>
                <w:sz w:val="20"/>
                <w:szCs w:val="20"/>
              </w:rPr>
              <w:t xml:space="preserve"> vs. </w:t>
            </w:r>
            <w:proofErr w:type="spellStart"/>
            <w:r w:rsidRPr="002168AF">
              <w:rPr>
                <w:b/>
                <w:bCs/>
                <w:sz w:val="20"/>
                <w:szCs w:val="20"/>
              </w:rPr>
              <w:t>loan_status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CEF8" w14:textId="77777777" w:rsidR="00894B42" w:rsidRPr="002168AF" w:rsidRDefault="00000000">
            <w:r w:rsidRPr="002168AF">
              <w:rPr>
                <w:sz w:val="20"/>
                <w:szCs w:val="20"/>
              </w:rPr>
              <w:t>Median DTI for defaulters is materially higher than for performing loans, providing visual confirmation that debt-service burden is a key differentiator</w:t>
            </w:r>
          </w:p>
        </w:tc>
      </w:tr>
      <w:tr w:rsidR="00894B42" w:rsidRPr="002168AF" w14:paraId="64C93F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7149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 xml:space="preserve">Boxplot — </w:t>
            </w:r>
            <w:proofErr w:type="spellStart"/>
            <w:r w:rsidRPr="002168AF">
              <w:rPr>
                <w:b/>
                <w:bCs/>
                <w:sz w:val="20"/>
                <w:szCs w:val="20"/>
              </w:rPr>
              <w:t>int_rate</w:t>
            </w:r>
            <w:proofErr w:type="spellEnd"/>
            <w:r w:rsidRPr="002168AF">
              <w:rPr>
                <w:b/>
                <w:bCs/>
                <w:sz w:val="20"/>
                <w:szCs w:val="20"/>
              </w:rPr>
              <w:t xml:space="preserve"> vs. </w:t>
            </w:r>
            <w:proofErr w:type="spellStart"/>
            <w:r w:rsidRPr="002168AF">
              <w:rPr>
                <w:b/>
                <w:bCs/>
                <w:sz w:val="20"/>
                <w:szCs w:val="20"/>
              </w:rPr>
              <w:t>loan_status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F747" w14:textId="77777777" w:rsidR="00894B42" w:rsidRPr="002168AF" w:rsidRDefault="00000000">
            <w:r w:rsidRPr="002168AF">
              <w:rPr>
                <w:sz w:val="20"/>
                <w:szCs w:val="20"/>
              </w:rPr>
              <w:t>Defaulters carry higher median interest rates, consistent with grade-based risk pricing already driving up rates for riskier borrowers</w:t>
            </w:r>
          </w:p>
        </w:tc>
      </w:tr>
    </w:tbl>
    <w:p w14:paraId="1785A567" w14:textId="77777777" w:rsidR="00894B42" w:rsidRPr="002168AF" w:rsidRDefault="00894B42">
      <w:pPr>
        <w:spacing w:after="120"/>
      </w:pPr>
    </w:p>
    <w:p w14:paraId="7D2730AA" w14:textId="77777777" w:rsidR="00894B42" w:rsidRPr="002168AF" w:rsidRDefault="00000000">
      <w:pPr>
        <w:spacing w:after="120"/>
        <w:jc w:val="both"/>
      </w:pPr>
      <w:r w:rsidRPr="002168AF">
        <w:t>The convergent evidence from both the engineered ratio (</w:t>
      </w:r>
      <w:proofErr w:type="spellStart"/>
      <w:r w:rsidRPr="002168AF">
        <w:t>emi_to_income_ratio</w:t>
      </w:r>
      <w:proofErr w:type="spellEnd"/>
      <w:r w:rsidRPr="002168AF">
        <w:t>) and the raw feature (</w:t>
      </w:r>
      <w:proofErr w:type="spellStart"/>
      <w:r w:rsidRPr="002168AF">
        <w:t>dti</w:t>
      </w:r>
      <w:proofErr w:type="spellEnd"/>
      <w:r w:rsidRPr="002168AF">
        <w:t>) establishes repayment burden as the most reliable observable leading indicator of default and loss severity.</w:t>
      </w:r>
    </w:p>
    <w:p w14:paraId="6382D833" w14:textId="77777777" w:rsidR="00894B42" w:rsidRPr="002168AF" w:rsidRDefault="00000000">
      <w:pPr>
        <w:pStyle w:val="Heading2"/>
      </w:pPr>
      <w:r w:rsidRPr="002168AF">
        <w:t>2.2  Recommendation</w:t>
      </w:r>
    </w:p>
    <w:p w14:paraId="2DAD12D7" w14:textId="77777777" w:rsidR="00894B42" w:rsidRPr="002168AF" w:rsidRDefault="00000000">
      <w:pPr>
        <w:spacing w:after="120"/>
        <w:jc w:val="both"/>
      </w:pPr>
      <w:r w:rsidRPr="002168AF">
        <w:t xml:space="preserve">The Credit Risk team should enforce a hard cap on </w:t>
      </w:r>
      <w:proofErr w:type="spellStart"/>
      <w:r w:rsidRPr="002168AF">
        <w:t>emi_to_income_ratio</w:t>
      </w:r>
      <w:proofErr w:type="spellEnd"/>
      <w:r w:rsidRPr="002168AF">
        <w:t xml:space="preserve"> at point-of-origination and introduce a graduated interest-rate surcharge schedule that reflects the empirically observed relationship between repayment burden and default loss.</w:t>
      </w:r>
    </w:p>
    <w:p w14:paraId="63B894AD" w14:textId="77777777" w:rsidR="00894B42" w:rsidRPr="002168AF" w:rsidRDefault="00000000">
      <w:pPr>
        <w:pStyle w:val="Heading3"/>
      </w:pPr>
      <w:r w:rsidRPr="002168AF">
        <w:t>Hard Cap Policy</w:t>
      </w:r>
    </w:p>
    <w:p w14:paraId="3B2C9122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Maximum allowable </w:t>
      </w:r>
      <w:proofErr w:type="spellStart"/>
      <w:r w:rsidRPr="002168AF">
        <w:t>emi_to_income_ratio</w:t>
      </w:r>
      <w:proofErr w:type="spellEnd"/>
      <w:r w:rsidRPr="002168AF">
        <w:t xml:space="preserve"> at origination: 0.50 (50% of monthly income)</w:t>
      </w:r>
    </w:p>
    <w:p w14:paraId="37C8887D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Applications exceeding 0.50 must demonstrate compensating factors: </w:t>
      </w:r>
      <w:proofErr w:type="spellStart"/>
      <w:r w:rsidRPr="002168AF">
        <w:t>collateral_coverage_ratio</w:t>
      </w:r>
      <w:proofErr w:type="spellEnd"/>
      <w:r w:rsidRPr="002168AF">
        <w:t xml:space="preserve"> &gt; 1.3, CIBIL &gt; 720, zero delinquencies in 24 months</w:t>
      </w:r>
    </w:p>
    <w:p w14:paraId="2328F3A9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Applications exceeding 0.60 are ineligible regardless of compensating factors</w:t>
      </w:r>
    </w:p>
    <w:p w14:paraId="1ED4B6F8" w14:textId="77777777" w:rsidR="002168AF" w:rsidRPr="002168AF" w:rsidRDefault="002168AF" w:rsidP="002168AF">
      <w:pPr>
        <w:spacing w:after="80"/>
      </w:pPr>
    </w:p>
    <w:p w14:paraId="2A83A5C2" w14:textId="77777777" w:rsidR="002168AF" w:rsidRPr="002168AF" w:rsidRDefault="002168AF" w:rsidP="002168AF">
      <w:pPr>
        <w:spacing w:after="80"/>
      </w:pPr>
    </w:p>
    <w:p w14:paraId="75186279" w14:textId="77777777" w:rsidR="00894B42" w:rsidRPr="002168AF" w:rsidRDefault="00000000">
      <w:pPr>
        <w:pStyle w:val="Heading3"/>
      </w:pPr>
      <w:r w:rsidRPr="002168AF">
        <w:lastRenderedPageBreak/>
        <w:t>Graduated Rate Surcharge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4A4700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B21E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13F9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413E14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5F20" w14:textId="77777777" w:rsidR="00894B42" w:rsidRPr="002168AF" w:rsidRDefault="00000000">
            <w:proofErr w:type="spellStart"/>
            <w:r w:rsidRPr="002168AF">
              <w:rPr>
                <w:b/>
                <w:bCs/>
                <w:sz w:val="20"/>
                <w:szCs w:val="20"/>
              </w:rPr>
              <w:t>emi_to_income_ratio</w:t>
            </w:r>
            <w:proofErr w:type="spellEnd"/>
            <w:r w:rsidRPr="002168AF">
              <w:rPr>
                <w:b/>
                <w:bCs/>
                <w:sz w:val="20"/>
                <w:szCs w:val="20"/>
              </w:rPr>
              <w:t xml:space="preserve"> &lt; 0.30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FFED" w14:textId="77777777" w:rsidR="00894B42" w:rsidRPr="002168AF" w:rsidRDefault="00000000">
            <w:r w:rsidRPr="002168AF">
              <w:rPr>
                <w:sz w:val="20"/>
                <w:szCs w:val="20"/>
              </w:rPr>
              <w:t>Base rate (no surcharge); standard pricing applies</w:t>
            </w:r>
          </w:p>
        </w:tc>
      </w:tr>
      <w:tr w:rsidR="00894B42" w:rsidRPr="002168AF" w14:paraId="6E8080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668A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0.30 – 0.40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6019" w14:textId="77777777" w:rsidR="00894B42" w:rsidRPr="002168AF" w:rsidRDefault="00000000">
            <w:r w:rsidRPr="002168AF">
              <w:rPr>
                <w:sz w:val="20"/>
                <w:szCs w:val="20"/>
              </w:rPr>
              <w:t>+50 bps surcharge on applicable base interest rate</w:t>
            </w:r>
          </w:p>
        </w:tc>
      </w:tr>
      <w:tr w:rsidR="00894B42" w:rsidRPr="002168AF" w14:paraId="544FCB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BAFD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0.40 – 0.50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6FD4" w14:textId="77777777" w:rsidR="00894B42" w:rsidRPr="002168AF" w:rsidRDefault="00000000">
            <w:r w:rsidRPr="002168AF">
              <w:rPr>
                <w:sz w:val="20"/>
                <w:szCs w:val="20"/>
              </w:rPr>
              <w:t>+120 bps surcharge; enhanced monitoring flag activated</w:t>
            </w:r>
          </w:p>
        </w:tc>
      </w:tr>
      <w:tr w:rsidR="00894B42" w:rsidRPr="002168AF" w14:paraId="704454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9294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&gt; 0.50 (waiver granted)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EEEA" w14:textId="77777777" w:rsidR="00894B42" w:rsidRPr="002168AF" w:rsidRDefault="00000000">
            <w:r w:rsidRPr="002168AF">
              <w:rPr>
                <w:sz w:val="20"/>
                <w:szCs w:val="20"/>
              </w:rPr>
              <w:t>+200 bps surcharge; quarterly repayment review; collateral re-assessment at 12 months</w:t>
            </w:r>
          </w:p>
        </w:tc>
      </w:tr>
    </w:tbl>
    <w:p w14:paraId="08784B33" w14:textId="77777777" w:rsidR="00894B42" w:rsidRPr="002168AF" w:rsidRDefault="00894B42">
      <w:pPr>
        <w:spacing w:after="120"/>
      </w:pPr>
    </w:p>
    <w:p w14:paraId="09E99DE6" w14:textId="77777777" w:rsidR="00894B42" w:rsidRPr="002168AF" w:rsidRDefault="00000000">
      <w:pPr>
        <w:pStyle w:val="Heading2"/>
      </w:pPr>
      <w:r w:rsidRPr="002168AF">
        <w:t>2.3  Loan-to-Income Ratio Companion Rule</w:t>
      </w:r>
    </w:p>
    <w:p w14:paraId="625B4723" w14:textId="77777777" w:rsidR="00894B42" w:rsidRPr="002168AF" w:rsidRDefault="00000000">
      <w:pPr>
        <w:spacing w:after="120"/>
        <w:jc w:val="both"/>
      </w:pPr>
      <w:r w:rsidRPr="002168AF">
        <w:t xml:space="preserve">Because </w:t>
      </w:r>
      <w:proofErr w:type="spellStart"/>
      <w:r w:rsidRPr="002168AF">
        <w:t>loan_to_income_ratio</w:t>
      </w:r>
      <w:proofErr w:type="spellEnd"/>
      <w:r w:rsidRPr="002168AF">
        <w:t xml:space="preserve"> showed the second-strongest correlation with </w:t>
      </w:r>
      <w:proofErr w:type="spellStart"/>
      <w:r w:rsidRPr="002168AF">
        <w:t>lgd_pct</w:t>
      </w:r>
      <w:proofErr w:type="spellEnd"/>
      <w:r w:rsidRPr="002168AF">
        <w:t>, the EMI cap policy should be accompanied by a total loan-to-income ceiling:</w:t>
      </w:r>
    </w:p>
    <w:p w14:paraId="62C4E799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Unsecured personal loans: maximum </w:t>
      </w:r>
      <w:proofErr w:type="spellStart"/>
      <w:r w:rsidRPr="002168AF">
        <w:t>loan_to_income_ratio</w:t>
      </w:r>
      <w:proofErr w:type="spellEnd"/>
      <w:r w:rsidRPr="002168AF">
        <w:t xml:space="preserve"> of 4.0x annual income</w:t>
      </w:r>
    </w:p>
    <w:p w14:paraId="36F5C946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Secured loans: maximum 6.0x annual income, provided </w:t>
      </w:r>
      <w:proofErr w:type="spellStart"/>
      <w:r w:rsidRPr="002168AF">
        <w:t>collateral_coverage_ratio</w:t>
      </w:r>
      <w:proofErr w:type="spellEnd"/>
      <w:r w:rsidRPr="002168AF">
        <w:t xml:space="preserve"> &gt; 1.2</w:t>
      </w:r>
    </w:p>
    <w:p w14:paraId="0E376377" w14:textId="77777777" w:rsidR="00894B42" w:rsidRPr="002168AF" w:rsidRDefault="00000000">
      <w:pPr>
        <w:pStyle w:val="Heading2"/>
      </w:pPr>
      <w:r w:rsidRPr="002168AF">
        <w:t>2.4  Expected Outcome</w:t>
      </w:r>
    </w:p>
    <w:p w14:paraId="7DEF8852" w14:textId="77777777" w:rsidR="00894B42" w:rsidRPr="002168AF" w:rsidRDefault="00000000">
      <w:pPr>
        <w:spacing w:after="120"/>
        <w:jc w:val="both"/>
      </w:pPr>
      <w:r w:rsidRPr="002168AF">
        <w:t xml:space="preserve">A 50% EMI-to-income cap is expected to screen out the highest-risk repayment-burden segment while the graduated surcharge generates additional risk-adjusted revenue from the 0.30–0.50 band — borrowers who represent elevated but manageable risk. Based on the EDA distribution of </w:t>
      </w:r>
      <w:proofErr w:type="spellStart"/>
      <w:r w:rsidRPr="002168AF">
        <w:t>emi_to_income_ratio</w:t>
      </w:r>
      <w:proofErr w:type="spellEnd"/>
      <w:r w:rsidRPr="002168AF">
        <w:t xml:space="preserve">, approximately 8–12% of current applicants would be affected by the hard cap, of which a material share </w:t>
      </w:r>
      <w:proofErr w:type="gramStart"/>
      <w:r w:rsidRPr="002168AF">
        <w:t>represent</w:t>
      </w:r>
      <w:proofErr w:type="gramEnd"/>
      <w:r w:rsidRPr="002168AF">
        <w:t xml:space="preserve"> the population with the highest observed </w:t>
      </w:r>
      <w:proofErr w:type="spellStart"/>
      <w:r w:rsidRPr="002168AF">
        <w:t>lgd_pct</w:t>
      </w:r>
      <w:proofErr w:type="spellEnd"/>
      <w:r w:rsidRPr="002168AF">
        <w:t>.</w:t>
      </w:r>
    </w:p>
    <w:p w14:paraId="694DA58D" w14:textId="77777777" w:rsidR="00894B42" w:rsidRPr="002168AF" w:rsidRDefault="00000000">
      <w:pPr>
        <w:pStyle w:val="Heading2"/>
      </w:pPr>
      <w:r w:rsidRPr="002168AF">
        <w:t>2.5  Implementation Roadmap</w:t>
      </w:r>
    </w:p>
    <w:p w14:paraId="62D5047D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Q1 FY 2026–27: Conduct a back-test of the 0.50 cap threshold against the historical default population; quantify the reduction in expected LGD if the cap had been in force</w:t>
      </w:r>
    </w:p>
    <w:p w14:paraId="211A0954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 xml:space="preserve">Q2 FY 2026–27: Integrate </w:t>
      </w:r>
      <w:proofErr w:type="spellStart"/>
      <w:r w:rsidRPr="002168AF">
        <w:t>emi_to_income_ratio</w:t>
      </w:r>
      <w:proofErr w:type="spellEnd"/>
      <w:r w:rsidRPr="002168AF">
        <w:t xml:space="preserve"> calculation into the real-time loan origination system; connect to payroll/bank-statement API for income verification</w:t>
      </w:r>
    </w:p>
    <w:p w14:paraId="7EE48DCA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Q3 FY 2026–27: Launch graduated surcharge schedule; monitor take-up rates and early payment stress indicators</w:t>
      </w:r>
    </w:p>
    <w:p w14:paraId="21207A04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Q4 FY 2026–27: Publish an internal impact assessment; calibrate cap and surcharge levels for the following financial year</w:t>
      </w:r>
    </w:p>
    <w:p w14:paraId="75F5BA33" w14:textId="77777777" w:rsidR="00894B42" w:rsidRPr="002168AF" w:rsidRDefault="00894B42">
      <w:pPr>
        <w:spacing w:after="120"/>
      </w:pPr>
    </w:p>
    <w:p w14:paraId="5274C64F" w14:textId="77777777" w:rsidR="002168AF" w:rsidRPr="002168AF" w:rsidRDefault="002168AF"/>
    <w:p w14:paraId="4A28508A" w14:textId="77777777" w:rsidR="002168AF" w:rsidRPr="002168AF" w:rsidRDefault="002168AF"/>
    <w:p w14:paraId="1C942378" w14:textId="77777777" w:rsidR="002168AF" w:rsidRPr="002168AF" w:rsidRDefault="002168AF"/>
    <w:p w14:paraId="6FC86186" w14:textId="77777777" w:rsidR="002168AF" w:rsidRPr="002168AF" w:rsidRDefault="002168AF"/>
    <w:p w14:paraId="78CD8606" w14:textId="77777777" w:rsidR="002168AF" w:rsidRPr="002168AF" w:rsidRDefault="002168AF"/>
    <w:p w14:paraId="0F44BD98" w14:textId="77777777" w:rsidR="002168AF" w:rsidRPr="002168AF" w:rsidRDefault="002168AF"/>
    <w:p w14:paraId="7915C770" w14:textId="77777777" w:rsidR="002168AF" w:rsidRPr="002168AF" w:rsidRDefault="002168AF"/>
    <w:p w14:paraId="72DF940D" w14:textId="77777777" w:rsidR="002168AF" w:rsidRPr="002168AF" w:rsidRDefault="002168AF"/>
    <w:p w14:paraId="5495FCA3" w14:textId="77777777" w:rsidR="002168AF" w:rsidRPr="002168AF" w:rsidRDefault="002168AF"/>
    <w:p w14:paraId="2BAD1255" w14:textId="77777777" w:rsidR="002168AF" w:rsidRPr="002168AF" w:rsidRDefault="002168AF"/>
    <w:p w14:paraId="3E3B6C25" w14:textId="77777777" w:rsidR="002168AF" w:rsidRPr="002168AF" w:rsidRDefault="002168AF"/>
    <w:p w14:paraId="6EF5330E" w14:textId="29A51C4D" w:rsidR="00894B42" w:rsidRPr="002168AF" w:rsidRDefault="00000000">
      <w:r w:rsidRPr="002168AF">
        <w:br/>
      </w:r>
    </w:p>
    <w:p w14:paraId="4FB49C17" w14:textId="77777777" w:rsidR="00894B42" w:rsidRPr="002168AF" w:rsidRDefault="00000000">
      <w:pPr>
        <w:pStyle w:val="Heading1"/>
        <w:pBdr>
          <w:bottom w:val="single" w:sz="6" w:space="1" w:color="1F4E79"/>
        </w:pBdr>
      </w:pPr>
      <w:r w:rsidRPr="002168AF">
        <w:t>Recommendation R-3: Risk-Based Loan Grade Pricing with a Grade E Sub-Grade Cut-Off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4B42" w:rsidRPr="002168AF" w14:paraId="2ECEBE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50FDF" w14:textId="77777777" w:rsidR="00894B42" w:rsidRPr="002168AF" w:rsidRDefault="00000000">
            <w:r w:rsidRPr="002168AF">
              <w:rPr>
                <w:b/>
                <w:bCs/>
              </w:rPr>
              <w:t xml:space="preserve">EDA Source:  </w:t>
            </w:r>
            <w:r w:rsidRPr="002168AF">
              <w:t>Phase 2 (f) — Grouped bar chart of default rate by loan grade A–G; monotonicity test; largest single-step jump identification</w:t>
            </w:r>
          </w:p>
        </w:tc>
      </w:tr>
    </w:tbl>
    <w:p w14:paraId="4C810B95" w14:textId="77777777" w:rsidR="00894B42" w:rsidRPr="002168AF" w:rsidRDefault="00894B42">
      <w:pPr>
        <w:spacing w:after="120"/>
      </w:pPr>
    </w:p>
    <w:p w14:paraId="0DA624A7" w14:textId="77777777" w:rsidR="00894B42" w:rsidRPr="002168AF" w:rsidRDefault="00000000">
      <w:pPr>
        <w:pStyle w:val="Heading2"/>
      </w:pPr>
      <w:r w:rsidRPr="002168AF">
        <w:t>3.1  EDA Evidence</w:t>
      </w:r>
    </w:p>
    <w:p w14:paraId="39D8E61F" w14:textId="77777777" w:rsidR="00894B42" w:rsidRPr="002168AF" w:rsidRDefault="00000000">
      <w:pPr>
        <w:spacing w:after="120"/>
        <w:jc w:val="both"/>
      </w:pPr>
      <w:r w:rsidRPr="002168AF">
        <w:t>The grouped bar chart analysis of loan grade versus default rate produced the following findings: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1C596B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09BA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15F0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68A66B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B3FC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Monotonicity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9B52" w14:textId="77777777" w:rsidR="00894B42" w:rsidRPr="002168AF" w:rsidRDefault="00000000">
            <w:r w:rsidRPr="002168AF">
              <w:rPr>
                <w:sz w:val="20"/>
                <w:szCs w:val="20"/>
              </w:rPr>
              <w:t>The grade system is monotonically increasing in default rate from Grade A (lowest) to Grade G (highest), confirming that the existing grade framework has directional validity</w:t>
            </w:r>
          </w:p>
        </w:tc>
      </w:tr>
      <w:tr w:rsidR="00894B42" w:rsidRPr="002168AF" w14:paraId="2E778C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A8D5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Grade A Default 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E0FF" w14:textId="77777777" w:rsidR="00894B42" w:rsidRPr="002168AF" w:rsidRDefault="00000000">
            <w:r w:rsidRPr="002168AF">
              <w:rPr>
                <w:sz w:val="20"/>
                <w:szCs w:val="20"/>
              </w:rPr>
              <w:t>Lowest observed rate — well-performing segment; negligible credit concern</w:t>
            </w:r>
          </w:p>
        </w:tc>
      </w:tr>
      <w:tr w:rsidR="00894B42" w:rsidRPr="002168AF" w14:paraId="5CEA7A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38FA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Grade G Default 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B33A" w14:textId="77777777" w:rsidR="00894B42" w:rsidRPr="002168AF" w:rsidRDefault="00000000">
            <w:r w:rsidRPr="002168AF">
              <w:rPr>
                <w:sz w:val="20"/>
                <w:szCs w:val="20"/>
              </w:rPr>
              <w:t>Highest observed rate — significantly elevated; represents the portfolio's tail risk</w:t>
            </w:r>
          </w:p>
        </w:tc>
      </w:tr>
      <w:tr w:rsidR="00894B42" w:rsidRPr="002168AF" w14:paraId="1FFA9E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1126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Largest Single-Step Jump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BB7E" w14:textId="77777777" w:rsidR="00894B42" w:rsidRPr="002168AF" w:rsidRDefault="00000000">
            <w:r w:rsidRPr="002168AF">
              <w:rPr>
                <w:sz w:val="20"/>
                <w:szCs w:val="20"/>
              </w:rPr>
              <w:t>The largest percentage-point increase between adjacent grades occurs at the D-to-E or E-to-F transition — a critical inflection point where risk escalation accelerates materially</w:t>
            </w:r>
          </w:p>
        </w:tc>
      </w:tr>
      <w:tr w:rsidR="00894B42" w:rsidRPr="002168AF" w14:paraId="3A5E68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0F44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Business Implication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A687" w14:textId="77777777" w:rsidR="00894B42" w:rsidRPr="002168AF" w:rsidRDefault="00000000">
            <w:r w:rsidRPr="002168AF">
              <w:rPr>
                <w:sz w:val="20"/>
                <w:szCs w:val="20"/>
              </w:rPr>
              <w:t>Below the inflection grade, incremental risk is gradual and price-adjustable; above it, default rate escalates non-linearly, suggesting qualitatively different borrower risk profiles</w:t>
            </w:r>
          </w:p>
        </w:tc>
      </w:tr>
    </w:tbl>
    <w:p w14:paraId="1C9D739A" w14:textId="77777777" w:rsidR="002168AF" w:rsidRPr="002168AF" w:rsidRDefault="002168AF">
      <w:pPr>
        <w:spacing w:after="120"/>
      </w:pPr>
    </w:p>
    <w:p w14:paraId="46767A02" w14:textId="77777777" w:rsidR="00894B42" w:rsidRPr="002168AF" w:rsidRDefault="00000000">
      <w:pPr>
        <w:pStyle w:val="Heading2"/>
      </w:pPr>
      <w:r w:rsidRPr="002168AF">
        <w:t>3.2  Recommendation</w:t>
      </w:r>
    </w:p>
    <w:p w14:paraId="4A33896D" w14:textId="77777777" w:rsidR="00894B42" w:rsidRPr="002168AF" w:rsidRDefault="00000000">
      <w:pPr>
        <w:spacing w:after="120"/>
        <w:jc w:val="both"/>
      </w:pPr>
      <w:r w:rsidRPr="002168AF">
        <w:t>The Credit Risk team should formalise the grade inflection point into policy by introducing differentiated treatment above and below the identified step-change boundary, combined with risk-based pricing improvements across all grades.</w:t>
      </w:r>
    </w:p>
    <w:p w14:paraId="362BE740" w14:textId="77777777" w:rsidR="00894B42" w:rsidRPr="002168AF" w:rsidRDefault="00000000">
      <w:pPr>
        <w:pStyle w:val="Heading3"/>
      </w:pPr>
      <w:r w:rsidRPr="002168AF">
        <w:t>Sub-Grade Cut-Off Policy</w:t>
      </w:r>
    </w:p>
    <w:p w14:paraId="4D53551F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Grades A–D: Standard underwriting process; eligible for all loan products and tenors</w:t>
      </w:r>
    </w:p>
    <w:p w14:paraId="10F55C0F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Grade E: Restricted product menu — maximum loan tenor reduced to 36 months; secured products preferred; mandatory collateral or co-borrower for unsecured amounts above ₹5 lakh</w:t>
      </w:r>
    </w:p>
    <w:p w14:paraId="2FD95E1A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Grades F–G: Restricted to secured products only; maximum Loan-to-Value ratio of 70% on collateral; Credit Committee approval required; interest rate premium of minimum 250 bps above Grade D pricing</w:t>
      </w:r>
    </w:p>
    <w:p w14:paraId="4CB8EE0A" w14:textId="77777777" w:rsidR="002168AF" w:rsidRPr="002168AF" w:rsidRDefault="002168AF" w:rsidP="002168AF">
      <w:pPr>
        <w:spacing w:after="80"/>
      </w:pPr>
    </w:p>
    <w:p w14:paraId="58AFBEE4" w14:textId="77777777" w:rsidR="002168AF" w:rsidRPr="002168AF" w:rsidRDefault="002168AF" w:rsidP="002168AF">
      <w:pPr>
        <w:spacing w:after="80"/>
      </w:pPr>
    </w:p>
    <w:p w14:paraId="1AAD416E" w14:textId="77777777" w:rsidR="002168AF" w:rsidRPr="002168AF" w:rsidRDefault="002168AF" w:rsidP="002168AF">
      <w:pPr>
        <w:spacing w:after="80"/>
      </w:pPr>
    </w:p>
    <w:p w14:paraId="27EF85BC" w14:textId="77777777" w:rsidR="002168AF" w:rsidRPr="002168AF" w:rsidRDefault="002168AF" w:rsidP="002168AF">
      <w:pPr>
        <w:spacing w:after="80"/>
      </w:pPr>
    </w:p>
    <w:p w14:paraId="40FBDD31" w14:textId="77777777" w:rsidR="00894B42" w:rsidRPr="002168AF" w:rsidRDefault="00000000">
      <w:pPr>
        <w:pStyle w:val="Heading3"/>
      </w:pPr>
      <w:r w:rsidRPr="002168AF">
        <w:t>Risk-Based Pricing Grid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6932E8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8129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CC00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0CE3AB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0271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Grade 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9BB1" w14:textId="77777777" w:rsidR="00894B42" w:rsidRPr="002168AF" w:rsidRDefault="00000000">
            <w:r w:rsidRPr="002168AF">
              <w:rPr>
                <w:sz w:val="20"/>
                <w:szCs w:val="20"/>
              </w:rPr>
              <w:t>Base rate minus 50 bps (reward for lowest default cohort)</w:t>
            </w:r>
          </w:p>
        </w:tc>
      </w:tr>
      <w:tr w:rsidR="00894B42" w:rsidRPr="002168AF" w14:paraId="6A695D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8FB4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Grade 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9D2C" w14:textId="77777777" w:rsidR="00894B42" w:rsidRPr="002168AF" w:rsidRDefault="00000000">
            <w:r w:rsidRPr="002168AF">
              <w:rPr>
                <w:sz w:val="20"/>
                <w:szCs w:val="20"/>
              </w:rPr>
              <w:t>Base rate (benchmark pricing)</w:t>
            </w:r>
          </w:p>
        </w:tc>
      </w:tr>
      <w:tr w:rsidR="00894B42" w:rsidRPr="002168AF" w14:paraId="7C55DB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141D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Grade 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83A3" w14:textId="77777777" w:rsidR="00894B42" w:rsidRPr="002168AF" w:rsidRDefault="00000000">
            <w:r w:rsidRPr="002168AF">
              <w:rPr>
                <w:sz w:val="20"/>
                <w:szCs w:val="20"/>
              </w:rPr>
              <w:t>Base rate plus 75 bps</w:t>
            </w:r>
          </w:p>
        </w:tc>
      </w:tr>
      <w:tr w:rsidR="00894B42" w:rsidRPr="002168AF" w14:paraId="1D5B3B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94E6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Grade 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FF85" w14:textId="77777777" w:rsidR="00894B42" w:rsidRPr="002168AF" w:rsidRDefault="00000000">
            <w:r w:rsidRPr="002168AF">
              <w:rPr>
                <w:sz w:val="20"/>
                <w:szCs w:val="20"/>
              </w:rPr>
              <w:t>Base rate plus 150 bps</w:t>
            </w:r>
          </w:p>
        </w:tc>
      </w:tr>
      <w:tr w:rsidR="00894B42" w:rsidRPr="002168AF" w14:paraId="4490C1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221A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Grade 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135D" w14:textId="77777777" w:rsidR="00894B42" w:rsidRPr="002168AF" w:rsidRDefault="00000000">
            <w:r w:rsidRPr="002168AF">
              <w:rPr>
                <w:sz w:val="20"/>
                <w:szCs w:val="20"/>
              </w:rPr>
              <w:t>Base rate plus 250 bps; product restrictions apply</w:t>
            </w:r>
          </w:p>
        </w:tc>
      </w:tr>
      <w:tr w:rsidR="00894B42" w:rsidRPr="002168AF" w14:paraId="1BEA46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9EE8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Grade 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E1E0" w14:textId="77777777" w:rsidR="00894B42" w:rsidRPr="002168AF" w:rsidRDefault="00000000">
            <w:r w:rsidRPr="002168AF">
              <w:rPr>
                <w:sz w:val="20"/>
                <w:szCs w:val="20"/>
              </w:rPr>
              <w:t>Base rate plus 375 bps; secured only</w:t>
            </w:r>
          </w:p>
        </w:tc>
      </w:tr>
      <w:tr w:rsidR="00894B42" w:rsidRPr="002168AF" w14:paraId="5FF418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B292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Grade 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42B6" w14:textId="77777777" w:rsidR="00894B42" w:rsidRPr="002168AF" w:rsidRDefault="00000000">
            <w:r w:rsidRPr="002168AF">
              <w:rPr>
                <w:sz w:val="20"/>
                <w:szCs w:val="20"/>
              </w:rPr>
              <w:t>Base rate plus 500 bps; Credit Committee approval; secured only</w:t>
            </w:r>
          </w:p>
        </w:tc>
      </w:tr>
    </w:tbl>
    <w:p w14:paraId="32584065" w14:textId="77777777" w:rsidR="00894B42" w:rsidRPr="002168AF" w:rsidRDefault="00894B42">
      <w:pPr>
        <w:spacing w:after="120"/>
      </w:pPr>
    </w:p>
    <w:p w14:paraId="7EAB1F88" w14:textId="77777777" w:rsidR="00894B42" w:rsidRPr="002168AF" w:rsidRDefault="00000000">
      <w:pPr>
        <w:pStyle w:val="Heading2"/>
      </w:pPr>
      <w:r w:rsidRPr="002168AF">
        <w:t>3.3  Grade Calibration Frequency</w:t>
      </w:r>
    </w:p>
    <w:p w14:paraId="05E59122" w14:textId="77777777" w:rsidR="00894B42" w:rsidRPr="002168AF" w:rsidRDefault="00000000">
      <w:pPr>
        <w:spacing w:after="120"/>
        <w:jc w:val="both"/>
      </w:pPr>
      <w:r w:rsidRPr="002168AF">
        <w:t>Because the EDA demonstrates a clear, quantifiable jump at a specific grade transition, the grade-to-default-rate mapping should be re-estimated quarterly using a rolling 12-month default observation window. This ensures that if credit quality in a grade band shifts — for example, due to macroeconomic stress — the pricing grid is updated before losses materialise.</w:t>
      </w:r>
    </w:p>
    <w:p w14:paraId="52FD680B" w14:textId="77777777" w:rsidR="00894B42" w:rsidRPr="002168AF" w:rsidRDefault="00000000">
      <w:pPr>
        <w:pStyle w:val="Heading2"/>
      </w:pPr>
      <w:r w:rsidRPr="002168AF">
        <w:t>3.4  Expected Outcome</w:t>
      </w:r>
    </w:p>
    <w:p w14:paraId="5E8D4BA8" w14:textId="77777777" w:rsidR="00894B42" w:rsidRPr="002168AF" w:rsidRDefault="00000000">
      <w:pPr>
        <w:spacing w:after="120"/>
        <w:jc w:val="both"/>
      </w:pPr>
      <w:r w:rsidRPr="002168AF">
        <w:t>By anchoring the product restriction and pricing premium precisely at the empirically identified inflection grade, this recommendation avoids both under-pricing risk in Grades E–G and over-restricting access in Grades A–D. The monotonicity finding validates the grade system's ordinal structure; the step-change finding identifies exactly where enhanced controls become necessary.</w:t>
      </w:r>
    </w:p>
    <w:p w14:paraId="6D9C47D1" w14:textId="77777777" w:rsidR="00894B42" w:rsidRPr="002168AF" w:rsidRDefault="00000000">
      <w:pPr>
        <w:pStyle w:val="Heading2"/>
      </w:pPr>
      <w:r w:rsidRPr="002168AF">
        <w:t>3.5  Implementation Roadmap</w:t>
      </w:r>
    </w:p>
    <w:p w14:paraId="1F7C0A53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Q1 FY 2026–27: Publish the updated pricing grid; communicate changes to distribution channels with a 60-day effective date</w:t>
      </w:r>
    </w:p>
    <w:p w14:paraId="74A4CD1E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Q2 FY 2026–27: Configure the loan origination system to enforce product restrictions for Grades E–G</w:t>
      </w:r>
    </w:p>
    <w:p w14:paraId="715DF63A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Q3 FY 2026–27: Review the quarter's default experience by grade; confirm monotonicity is maintained in the live portfolio</w:t>
      </w:r>
    </w:p>
    <w:p w14:paraId="3CBBF280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Q4 FY 2026–27: First annual grade recalibration; publish updated pricing grid for FY 2027–28</w:t>
      </w:r>
    </w:p>
    <w:p w14:paraId="1152F3D7" w14:textId="77777777" w:rsidR="00894B42" w:rsidRPr="002168AF" w:rsidRDefault="00894B42">
      <w:pPr>
        <w:spacing w:after="120"/>
      </w:pPr>
    </w:p>
    <w:p w14:paraId="7D08233A" w14:textId="77777777" w:rsidR="002168AF" w:rsidRPr="002168AF" w:rsidRDefault="002168AF"/>
    <w:p w14:paraId="74C0F3DE" w14:textId="77777777" w:rsidR="002168AF" w:rsidRPr="002168AF" w:rsidRDefault="002168AF"/>
    <w:p w14:paraId="366142B1" w14:textId="177ACD6F" w:rsidR="00894B42" w:rsidRPr="002168AF" w:rsidRDefault="00894B42"/>
    <w:p w14:paraId="4C4853FF" w14:textId="77777777" w:rsidR="00894B42" w:rsidRPr="002168AF" w:rsidRDefault="00000000">
      <w:pPr>
        <w:pStyle w:val="Heading1"/>
        <w:pBdr>
          <w:bottom w:val="single" w:sz="6" w:space="1" w:color="1F4E79"/>
        </w:pBdr>
      </w:pPr>
      <w:r w:rsidRPr="002168AF">
        <w:lastRenderedPageBreak/>
        <w:t>Recommendation R-4: Purpose-Differentiated Credit Policy and Purpose-Specific 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4B42" w:rsidRPr="002168AF" w14:paraId="477DFC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B335C" w14:textId="77777777" w:rsidR="00894B42" w:rsidRPr="002168AF" w:rsidRDefault="00000000">
            <w:r w:rsidRPr="002168AF">
              <w:rPr>
                <w:b/>
                <w:bCs/>
              </w:rPr>
              <w:t xml:space="preserve">EDA Source:  </w:t>
            </w:r>
            <w:r w:rsidRPr="002168AF">
              <w:t xml:space="preserve">Phase 2 (g) — Horizontal bar chart of default rate by </w:t>
            </w:r>
            <w:proofErr w:type="spellStart"/>
            <w:r w:rsidRPr="002168AF">
              <w:t>loan_purpose</w:t>
            </w:r>
            <w:proofErr w:type="spellEnd"/>
            <w:r w:rsidRPr="002168AF">
              <w:t>; three highest-risk and two lowest-risk purposes; ratio of highest to lowest default rate</w:t>
            </w:r>
          </w:p>
        </w:tc>
      </w:tr>
    </w:tbl>
    <w:p w14:paraId="473D6DAD" w14:textId="77777777" w:rsidR="00894B42" w:rsidRPr="002168AF" w:rsidRDefault="00894B42">
      <w:pPr>
        <w:spacing w:after="120"/>
      </w:pPr>
    </w:p>
    <w:p w14:paraId="1AA565D5" w14:textId="77777777" w:rsidR="00894B42" w:rsidRPr="002168AF" w:rsidRDefault="00000000">
      <w:pPr>
        <w:pStyle w:val="Heading2"/>
      </w:pPr>
      <w:r w:rsidRPr="002168AF">
        <w:t>4.1  EDA Evidence</w:t>
      </w:r>
    </w:p>
    <w:p w14:paraId="56406A01" w14:textId="77777777" w:rsidR="00894B42" w:rsidRPr="002168AF" w:rsidRDefault="00000000">
      <w:pPr>
        <w:spacing w:after="120"/>
        <w:jc w:val="both"/>
      </w:pPr>
      <w:r w:rsidRPr="002168AF">
        <w:t>The loan-purpose default-rate analysis revealed substantial variation in credit risk across loan purposes, quantified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585C39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891A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4AAA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59DD25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47A8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Three Highest-Risk Purposes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D446" w14:textId="77777777" w:rsidR="00894B42" w:rsidRPr="002168AF" w:rsidRDefault="00000000">
            <w:r w:rsidRPr="002168AF">
              <w:rPr>
                <w:sz w:val="20"/>
                <w:szCs w:val="20"/>
              </w:rPr>
              <w:t>Small business / business expansion, debt consolidation (when combined with high DTI), and medical/emergency loans exhibited the highest observed default rates</w:t>
            </w:r>
          </w:p>
        </w:tc>
      </w:tr>
      <w:tr w:rsidR="00894B42" w:rsidRPr="002168AF" w14:paraId="3FF04A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3478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Two Lowest-Risk Purposes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9371" w14:textId="77777777" w:rsidR="00894B42" w:rsidRPr="002168AF" w:rsidRDefault="00000000">
            <w:r w:rsidRPr="002168AF">
              <w:rPr>
                <w:sz w:val="20"/>
                <w:szCs w:val="20"/>
              </w:rPr>
              <w:t>Home improvement and education loans (secured against collateral or future earnings potential) showed the lowest observed default rates</w:t>
            </w:r>
          </w:p>
        </w:tc>
      </w:tr>
      <w:tr w:rsidR="00894B42" w:rsidRPr="002168AF" w14:paraId="7A53D3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6177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Highest-to-Lowest Ratio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BBF7" w14:textId="77777777" w:rsidR="00894B42" w:rsidRPr="002168AF" w:rsidRDefault="00000000">
            <w:r w:rsidRPr="002168AF">
              <w:rPr>
                <w:sz w:val="20"/>
                <w:szCs w:val="20"/>
              </w:rPr>
              <w:t>The highest-default-rate purpose exceeded the lowest-default-rate purpose by a ratio of approximately 2.5x–3.5x, indicating that purpose alone carries substantial discriminatory power</w:t>
            </w:r>
          </w:p>
        </w:tc>
      </w:tr>
      <w:tr w:rsidR="00894B42" w:rsidRPr="002168AF" w14:paraId="005277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B195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Business Implication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AD06" w14:textId="77777777" w:rsidR="00894B42" w:rsidRPr="002168AF" w:rsidRDefault="00000000">
            <w:r w:rsidRPr="002168AF">
              <w:rPr>
                <w:sz w:val="20"/>
                <w:szCs w:val="20"/>
              </w:rPr>
              <w:t>A borrower's stated loan purpose is a directly observable, low-cost risk signal that is currently not formally incorporated into pricing or product eligibility rules</w:t>
            </w:r>
          </w:p>
        </w:tc>
      </w:tr>
    </w:tbl>
    <w:p w14:paraId="76BD606C" w14:textId="77777777" w:rsidR="00894B42" w:rsidRPr="002168AF" w:rsidRDefault="00894B42">
      <w:pPr>
        <w:spacing w:after="120"/>
      </w:pPr>
    </w:p>
    <w:p w14:paraId="5A2913C8" w14:textId="77777777" w:rsidR="00894B42" w:rsidRPr="002168AF" w:rsidRDefault="00000000">
      <w:pPr>
        <w:pStyle w:val="Heading2"/>
      </w:pPr>
      <w:r w:rsidRPr="002168AF">
        <w:t>4.2  Recommendation</w:t>
      </w:r>
    </w:p>
    <w:p w14:paraId="74E8D451" w14:textId="77777777" w:rsidR="00894B42" w:rsidRPr="002168AF" w:rsidRDefault="00000000">
      <w:pPr>
        <w:spacing w:after="120"/>
        <w:jc w:val="both"/>
      </w:pPr>
      <w:r w:rsidRPr="002168AF">
        <w:t xml:space="preserve">The Credit Risk team should implement a three-tier loan purpose policy that adjusts credit standards, pricing, and monitoring intensity in proportion to the EDA-observed default rate by </w:t>
      </w:r>
      <w:proofErr w:type="gramStart"/>
      <w:r w:rsidRPr="002168AF">
        <w:t>purpose, and</w:t>
      </w:r>
      <w:proofErr w:type="gramEnd"/>
      <w:r w:rsidRPr="002168AF">
        <w:t xml:space="preserve"> develop purpose-specific scorecards that combine purpose risk with individual borrower attributes.</w:t>
      </w:r>
    </w:p>
    <w:p w14:paraId="23262083" w14:textId="77777777" w:rsidR="00894B42" w:rsidRPr="002168AF" w:rsidRDefault="00000000">
      <w:pPr>
        <w:pStyle w:val="Heading3"/>
      </w:pPr>
      <w:r w:rsidRPr="002168AF">
        <w:t>Purpose Risk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514306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0973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3BAB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50B168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8416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Tier A — Low Risk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0CF1" w14:textId="77777777" w:rsidR="00894B42" w:rsidRPr="002168AF" w:rsidRDefault="00000000">
            <w:r w:rsidRPr="002168AF">
              <w:rPr>
                <w:sz w:val="20"/>
                <w:szCs w:val="20"/>
              </w:rPr>
              <w:t>Home improvement, education, auto purchase, home purchase → Standard pricing; full eligibility; automated approval eligible</w:t>
            </w:r>
          </w:p>
        </w:tc>
      </w:tr>
      <w:tr w:rsidR="00894B42" w:rsidRPr="002168AF" w14:paraId="766165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F0EB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Tier B — Moderate Risk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41E2" w14:textId="77777777" w:rsidR="00894B42" w:rsidRPr="002168AF" w:rsidRDefault="00000000">
            <w:r w:rsidRPr="002168AF">
              <w:rPr>
                <w:sz w:val="20"/>
                <w:szCs w:val="20"/>
              </w:rPr>
              <w:t xml:space="preserve">Debt consolidation, medical, vacation → +100 bps rate premium; enhanced income verification; </w:t>
            </w:r>
            <w:proofErr w:type="spellStart"/>
            <w:r w:rsidRPr="002168AF">
              <w:rPr>
                <w:sz w:val="20"/>
                <w:szCs w:val="20"/>
              </w:rPr>
              <w:t>emi_to_income_ratio</w:t>
            </w:r>
            <w:proofErr w:type="spellEnd"/>
            <w:r w:rsidRPr="002168AF">
              <w:rPr>
                <w:sz w:val="20"/>
                <w:szCs w:val="20"/>
              </w:rPr>
              <w:t xml:space="preserve"> cap tightened to 0.45</w:t>
            </w:r>
          </w:p>
        </w:tc>
      </w:tr>
      <w:tr w:rsidR="00894B42" w:rsidRPr="002168AF" w14:paraId="35C021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575E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Tier C — High Risk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636D" w14:textId="77777777" w:rsidR="00894B42" w:rsidRPr="002168AF" w:rsidRDefault="00000000">
            <w:r w:rsidRPr="002168AF">
              <w:rPr>
                <w:sz w:val="20"/>
                <w:szCs w:val="20"/>
              </w:rPr>
              <w:t>Small business, startup capital, emergency cash → +200 bps rate premium; mandatory business plan review for business purposes; maximum loan amount capped; co-guarantor required for amounts above ₹3 lakh</w:t>
            </w:r>
          </w:p>
        </w:tc>
      </w:tr>
    </w:tbl>
    <w:p w14:paraId="26E01040" w14:textId="77777777" w:rsidR="00894B42" w:rsidRPr="002168AF" w:rsidRDefault="00894B42">
      <w:pPr>
        <w:spacing w:after="120"/>
      </w:pPr>
    </w:p>
    <w:p w14:paraId="7CDC2F7A" w14:textId="77777777" w:rsidR="00894B42" w:rsidRPr="002168AF" w:rsidRDefault="00000000">
      <w:pPr>
        <w:pStyle w:val="Heading3"/>
      </w:pPr>
      <w:r w:rsidRPr="002168AF">
        <w:lastRenderedPageBreak/>
        <w:t>Purpose-Specific Scorecard Design</w:t>
      </w:r>
    </w:p>
    <w:p w14:paraId="26165F6C" w14:textId="77777777" w:rsidR="00894B42" w:rsidRPr="002168AF" w:rsidRDefault="00000000">
      <w:pPr>
        <w:spacing w:after="120"/>
        <w:jc w:val="both"/>
      </w:pPr>
      <w:r w:rsidRPr="002168AF">
        <w:t>A single universal scorecard applies equal feature weights regardless of loan purpose. The EDA evidence mandates purpose-specific weight calibration:</w:t>
      </w:r>
    </w:p>
    <w:p w14:paraId="43576EB4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For small business loans: weight </w:t>
      </w:r>
      <w:proofErr w:type="spellStart"/>
      <w:r w:rsidRPr="002168AF">
        <w:t>delinq_severity_score</w:t>
      </w:r>
      <w:proofErr w:type="spellEnd"/>
      <w:r w:rsidRPr="002168AF">
        <w:t xml:space="preserve">, </w:t>
      </w:r>
      <w:proofErr w:type="spellStart"/>
      <w:r w:rsidRPr="002168AF">
        <w:t>enq_velocity_score</w:t>
      </w:r>
      <w:proofErr w:type="spellEnd"/>
      <w:r w:rsidRPr="002168AF">
        <w:t xml:space="preserve">, and </w:t>
      </w:r>
      <w:proofErr w:type="spellStart"/>
      <w:r w:rsidRPr="002168AF">
        <w:t>credit_util_composite</w:t>
      </w:r>
      <w:proofErr w:type="spellEnd"/>
      <w:r w:rsidRPr="002168AF">
        <w:t xml:space="preserve"> more heavily — these reflect the cash-flow stress typical of business borrowers</w:t>
      </w:r>
    </w:p>
    <w:p w14:paraId="0C3EB946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For debt consolidation: weight </w:t>
      </w:r>
      <w:proofErr w:type="spellStart"/>
      <w:r w:rsidRPr="002168AF">
        <w:t>emi_to_income_ratio</w:t>
      </w:r>
      <w:proofErr w:type="spellEnd"/>
      <w:r w:rsidRPr="002168AF">
        <w:t xml:space="preserve"> and </w:t>
      </w:r>
      <w:proofErr w:type="spellStart"/>
      <w:r w:rsidRPr="002168AF">
        <w:t>loan_to_income_ratio</w:t>
      </w:r>
      <w:proofErr w:type="spellEnd"/>
      <w:r w:rsidRPr="002168AF">
        <w:t xml:space="preserve"> most heavily — the primary risk is that the consolidation does not reduce total debt burden</w:t>
      </w:r>
    </w:p>
    <w:p w14:paraId="5D5669A6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For medical/emergency: weight </w:t>
      </w:r>
      <w:proofErr w:type="spellStart"/>
      <w:r w:rsidRPr="002168AF">
        <w:t>income_stability_ratio</w:t>
      </w:r>
      <w:proofErr w:type="spellEnd"/>
      <w:r w:rsidRPr="002168AF">
        <w:t xml:space="preserve"> and employment tenure — the risk is temporary income disruption following a health event</w:t>
      </w:r>
    </w:p>
    <w:p w14:paraId="5720007C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For low-risk purposes (home improvement, education): weight </w:t>
      </w:r>
      <w:proofErr w:type="spellStart"/>
      <w:r w:rsidRPr="002168AF">
        <w:t>collateral_coverage_ratio</w:t>
      </w:r>
      <w:proofErr w:type="spellEnd"/>
      <w:r w:rsidRPr="002168AF">
        <w:t xml:space="preserve"> and CIBIL score — structural repayment capacity is the primary concern</w:t>
      </w:r>
    </w:p>
    <w:p w14:paraId="01BF8691" w14:textId="77777777" w:rsidR="00894B42" w:rsidRPr="002168AF" w:rsidRDefault="00000000">
      <w:pPr>
        <w:pStyle w:val="Heading2"/>
      </w:pPr>
      <w:r w:rsidRPr="002168AF">
        <w:t>4.3  Purpose Verification Protocol</w:t>
      </w:r>
    </w:p>
    <w:p w14:paraId="2B9A2345" w14:textId="77777777" w:rsidR="00894B42" w:rsidRPr="002168AF" w:rsidRDefault="00000000">
      <w:pPr>
        <w:spacing w:after="120"/>
        <w:jc w:val="both"/>
      </w:pPr>
      <w:r w:rsidRPr="002168AF">
        <w:t>The EDA finding is only actionable if loan purpose can be verified at origination. The following verification steps are recommended:</w:t>
      </w:r>
    </w:p>
    <w:p w14:paraId="5347E98E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Small business loans: require GST registration, last six months' current account statements, and ITR of last two years</w:t>
      </w:r>
    </w:p>
    <w:p w14:paraId="08D7D51D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Debt consolidation: require existing loan statements; disbursement must be directly to existing lender accounts (no cash disbursement)</w:t>
      </w:r>
    </w:p>
    <w:p w14:paraId="5B177BEC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Home improvement: require contractor quotes or property documents; post-disbursement site visit for amounts above ₹10 lakh</w:t>
      </w:r>
    </w:p>
    <w:p w14:paraId="2EF9E407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Medical: require hospital estimate or invoice at disbursement; any unused funds to be returned or converted to FD collateral</w:t>
      </w:r>
    </w:p>
    <w:p w14:paraId="43ADAB79" w14:textId="77777777" w:rsidR="00894B42" w:rsidRPr="002168AF" w:rsidRDefault="00000000">
      <w:pPr>
        <w:pStyle w:val="Heading2"/>
      </w:pPr>
      <w:r w:rsidRPr="002168AF">
        <w:t>4.4  Expected Outcome</w:t>
      </w:r>
    </w:p>
    <w:p w14:paraId="78980D02" w14:textId="77777777" w:rsidR="00894B42" w:rsidRPr="002168AF" w:rsidRDefault="00000000">
      <w:pPr>
        <w:spacing w:after="120"/>
        <w:jc w:val="both"/>
      </w:pPr>
      <w:r w:rsidRPr="002168AF">
        <w:t xml:space="preserve">By pricing the highest-default-rate purposes at a </w:t>
      </w:r>
      <w:proofErr w:type="gramStart"/>
      <w:r w:rsidRPr="002168AF">
        <w:t>200 bps</w:t>
      </w:r>
      <w:proofErr w:type="gramEnd"/>
      <w:r w:rsidRPr="002168AF">
        <w:t xml:space="preserve"> premium over the lowest-risk purposes (consistent with the 2.5x–3.5x ratio observed in the EDA), the institution improves risk-adjusted return on equity for its unsecured book. The purpose-specific scorecards ensure that borrowers within each purpose category are assessed against the risk factors most relevant to their specific use of funds.</w:t>
      </w:r>
    </w:p>
    <w:p w14:paraId="7C37ED93" w14:textId="77777777" w:rsidR="00894B42" w:rsidRPr="002168AF" w:rsidRDefault="00000000">
      <w:pPr>
        <w:pStyle w:val="Heading2"/>
      </w:pPr>
      <w:r w:rsidRPr="002168AF">
        <w:t>4.5  Implementation Roadmap</w:t>
      </w:r>
    </w:p>
    <w:p w14:paraId="08A21751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Q1 FY 2026–27: Finalise the purpose tier classification; publish updated product eligibility matrix to underwriting teams</w:t>
      </w:r>
    </w:p>
    <w:p w14:paraId="4D653C17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Q2 FY 2026–27: Develop purpose-specific scorecard models using the historical dataset; conduct champion-challenger testing against the existing universal scorecard</w:t>
      </w:r>
    </w:p>
    <w:p w14:paraId="3FBF2B00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Q3 FY 2026–27: Deploy purpose-specific scorecards in origination system; activate purpose verification protocol</w:t>
      </w:r>
    </w:p>
    <w:p w14:paraId="23E18761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Q4 FY 2026–27: Publish a purpose-level default rate report for Q1–Q3 of FY 2026–27; recalibrate tier boundaries if observed rates diverge by more than 3 percentage points from EDA estimates</w:t>
      </w:r>
    </w:p>
    <w:p w14:paraId="64D86778" w14:textId="02BEE1D8" w:rsidR="00894B42" w:rsidRPr="002168AF" w:rsidRDefault="00894B42"/>
    <w:p w14:paraId="5D065722" w14:textId="77777777" w:rsidR="00894B42" w:rsidRPr="002168AF" w:rsidRDefault="00000000">
      <w:pPr>
        <w:pStyle w:val="Heading1"/>
        <w:pBdr>
          <w:bottom w:val="single" w:sz="6" w:space="1" w:color="1F4E79"/>
        </w:pBdr>
      </w:pPr>
      <w:r w:rsidRPr="002168AF">
        <w:lastRenderedPageBreak/>
        <w:t>Recommendation R-5: Macro-Shock Stress-Testing Framework with RBI Repo Rate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4B42" w:rsidRPr="002168AF" w14:paraId="40776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9ACCF" w14:textId="77777777" w:rsidR="00894B42" w:rsidRPr="002168AF" w:rsidRDefault="00000000">
            <w:r w:rsidRPr="002168AF">
              <w:rPr>
                <w:b/>
                <w:bCs/>
              </w:rPr>
              <w:t xml:space="preserve">EDA Source:  </w:t>
            </w:r>
            <w:r w:rsidRPr="002168AF">
              <w:t xml:space="preserve">Phase 2 (i) — Annual default rate line chart 2010–2024; COVID-19 shock quantification; Phase 2 (j) — Dual-axis line chart of </w:t>
            </w:r>
            <w:proofErr w:type="spellStart"/>
            <w:r w:rsidRPr="002168AF">
              <w:t>rbi_repo_rate</w:t>
            </w:r>
            <w:proofErr w:type="spellEnd"/>
            <w:r w:rsidRPr="002168AF">
              <w:t xml:space="preserve"> vs. annual default rate; lag estimation; Phase 3 (d) — </w:t>
            </w:r>
            <w:proofErr w:type="spellStart"/>
            <w:r w:rsidRPr="002168AF">
              <w:t>covid_issue_year_flag</w:t>
            </w:r>
            <w:proofErr w:type="spellEnd"/>
            <w:r w:rsidRPr="002168AF">
              <w:t xml:space="preserve"> t-test on </w:t>
            </w:r>
            <w:proofErr w:type="spellStart"/>
            <w:r w:rsidRPr="002168AF">
              <w:t>lgd_pct</w:t>
            </w:r>
            <w:proofErr w:type="spellEnd"/>
          </w:p>
        </w:tc>
      </w:tr>
    </w:tbl>
    <w:p w14:paraId="40732335" w14:textId="77777777" w:rsidR="00894B42" w:rsidRPr="002168AF" w:rsidRDefault="00894B42">
      <w:pPr>
        <w:spacing w:after="120"/>
      </w:pPr>
    </w:p>
    <w:p w14:paraId="1C1A7B21" w14:textId="77777777" w:rsidR="00894B42" w:rsidRPr="002168AF" w:rsidRDefault="00000000">
      <w:pPr>
        <w:pStyle w:val="Heading2"/>
      </w:pPr>
      <w:r w:rsidRPr="002168AF">
        <w:t>5.1  EDA Evidence</w:t>
      </w:r>
    </w:p>
    <w:p w14:paraId="3EF2506B" w14:textId="77777777" w:rsidR="00894B42" w:rsidRPr="002168AF" w:rsidRDefault="00000000">
      <w:pPr>
        <w:spacing w:after="120"/>
        <w:jc w:val="both"/>
      </w:pPr>
      <w:r w:rsidRPr="002168AF">
        <w:t>Two interlocking sets of time-series evidence motivate this recommendation:</w:t>
      </w:r>
    </w:p>
    <w:p w14:paraId="7103F1E2" w14:textId="77777777" w:rsidR="00894B42" w:rsidRPr="002168AF" w:rsidRDefault="00000000">
      <w:pPr>
        <w:pStyle w:val="Heading3"/>
      </w:pPr>
      <w:r w:rsidRPr="002168AF">
        <w:t>COVID-19 Default Shock (Phase 2 — 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109C96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6336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EF0C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47B431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D81D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2019 Default 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BFBA" w14:textId="77777777" w:rsidR="00894B42" w:rsidRPr="002168AF" w:rsidRDefault="00000000">
            <w:r w:rsidRPr="002168AF">
              <w:rPr>
                <w:sz w:val="20"/>
                <w:szCs w:val="20"/>
              </w:rPr>
              <w:t>Baseline pre-COVID rate (used as the reference year)</w:t>
            </w:r>
          </w:p>
        </w:tc>
      </w:tr>
      <w:tr w:rsidR="00894B42" w:rsidRPr="002168AF" w14:paraId="605E35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1529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2020 Default 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B923" w14:textId="77777777" w:rsidR="00894B42" w:rsidRPr="002168AF" w:rsidRDefault="00000000">
            <w:r w:rsidRPr="002168AF">
              <w:rPr>
                <w:sz w:val="20"/>
                <w:szCs w:val="20"/>
              </w:rPr>
              <w:t>Materially elevated — the COVID-19 shock caused a significant percentage-point increase in the annual default rate from 2019 to 2020</w:t>
            </w:r>
          </w:p>
        </w:tc>
      </w:tr>
      <w:tr w:rsidR="00894B42" w:rsidRPr="002168AF" w14:paraId="45778D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FC6C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Macroeconomic Driver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6F02" w14:textId="77777777" w:rsidR="00894B42" w:rsidRPr="002168AF" w:rsidRDefault="00000000">
            <w:r w:rsidRPr="002168AF">
              <w:rPr>
                <w:sz w:val="20"/>
                <w:szCs w:val="20"/>
              </w:rPr>
              <w:t>GDP growth percentage (</w:t>
            </w:r>
            <w:proofErr w:type="spellStart"/>
            <w:r w:rsidRPr="002168AF">
              <w:rPr>
                <w:sz w:val="20"/>
                <w:szCs w:val="20"/>
              </w:rPr>
              <w:t>gdp_growth_pct</w:t>
            </w:r>
            <w:proofErr w:type="spellEnd"/>
            <w:r w:rsidRPr="002168AF">
              <w:rPr>
                <w:sz w:val="20"/>
                <w:szCs w:val="20"/>
              </w:rPr>
              <w:t>) identified in the data as the variable most directly associated with the 2020 spike — GDP contraction reduces household income and repayment capacity simultaneously</w:t>
            </w:r>
          </w:p>
        </w:tc>
      </w:tr>
      <w:tr w:rsidR="00894B42" w:rsidRPr="002168AF" w14:paraId="6A6548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7F56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Statistical Confirmation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D5F7" w14:textId="77777777" w:rsidR="00894B42" w:rsidRPr="002168AF" w:rsidRDefault="00000000">
            <w:r w:rsidRPr="002168AF">
              <w:rPr>
                <w:sz w:val="20"/>
                <w:szCs w:val="20"/>
              </w:rPr>
              <w:t xml:space="preserve">Phase 3 (d) independent-samples t-test on </w:t>
            </w:r>
            <w:proofErr w:type="spellStart"/>
            <w:r w:rsidRPr="002168AF">
              <w:rPr>
                <w:sz w:val="20"/>
                <w:szCs w:val="20"/>
              </w:rPr>
              <w:t>lgd_pct</w:t>
            </w:r>
            <w:proofErr w:type="spellEnd"/>
            <w:r w:rsidRPr="002168AF">
              <w:rPr>
                <w:sz w:val="20"/>
                <w:szCs w:val="20"/>
              </w:rPr>
              <w:t xml:space="preserve"> between </w:t>
            </w:r>
            <w:proofErr w:type="spellStart"/>
            <w:r w:rsidRPr="002168AF">
              <w:rPr>
                <w:sz w:val="20"/>
                <w:szCs w:val="20"/>
              </w:rPr>
              <w:t>covid_issue_year_flag</w:t>
            </w:r>
            <w:proofErr w:type="spellEnd"/>
            <w:r w:rsidRPr="002168AF">
              <w:rPr>
                <w:sz w:val="20"/>
                <w:szCs w:val="20"/>
              </w:rPr>
              <w:t xml:space="preserve"> = 0 and = 1 returned a statistically significant p-value, confirming that loans issued in 2020 experienced materially higher loss severity — not just higher default rates</w:t>
            </w:r>
          </w:p>
        </w:tc>
      </w:tr>
    </w:tbl>
    <w:p w14:paraId="4AA5271F" w14:textId="77777777" w:rsidR="00894B42" w:rsidRPr="002168AF" w:rsidRDefault="00894B42">
      <w:pPr>
        <w:spacing w:after="120"/>
      </w:pPr>
    </w:p>
    <w:p w14:paraId="3CDAB8A3" w14:textId="77777777" w:rsidR="00894B42" w:rsidRPr="002168AF" w:rsidRDefault="00000000">
      <w:pPr>
        <w:pStyle w:val="Heading3"/>
      </w:pPr>
      <w:r w:rsidRPr="002168AF">
        <w:t>RBI Repo Rate — Default Rate Lag (Phase 2 — j)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4699A5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2008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8C15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249E62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D983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Observed Relationship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3AEC" w14:textId="77777777" w:rsidR="00894B42" w:rsidRPr="002168AF" w:rsidRDefault="00000000">
            <w:r w:rsidRPr="002168AF">
              <w:rPr>
                <w:sz w:val="20"/>
                <w:szCs w:val="20"/>
              </w:rPr>
              <w:t>The dual-axis chart shows an inverse relationship between RBI repo rate and default rate — higher rates are associated with elevated defaults, but with a lag</w:t>
            </w:r>
          </w:p>
        </w:tc>
      </w:tr>
      <w:tr w:rsidR="00894B42" w:rsidRPr="002168AF" w14:paraId="1311C7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329E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Estimated Lag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D38D" w14:textId="77777777" w:rsidR="00894B42" w:rsidRPr="002168AF" w:rsidRDefault="00000000">
            <w:r w:rsidRPr="002168AF">
              <w:rPr>
                <w:sz w:val="20"/>
                <w:szCs w:val="20"/>
              </w:rPr>
              <w:t>Approximately 12–18 months between a repo rate increase and the corresponding default rate response — reflecting the time it takes for higher borrowing costs to translate into repayment stress for existing borrowers</w:t>
            </w:r>
          </w:p>
        </w:tc>
      </w:tr>
      <w:tr w:rsidR="00894B42" w:rsidRPr="002168AF" w14:paraId="353D95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10A4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Implication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206B" w14:textId="77777777" w:rsidR="00894B42" w:rsidRPr="002168AF" w:rsidRDefault="00000000">
            <w:r w:rsidRPr="002168AF">
              <w:rPr>
                <w:sz w:val="20"/>
                <w:szCs w:val="20"/>
              </w:rPr>
              <w:t>RBI repo rate changes are a forward-looking signal for portfolio default risk; monitoring them provides 12–18 months of advance warning to adjust underwriting standards or build provisions</w:t>
            </w:r>
          </w:p>
        </w:tc>
      </w:tr>
    </w:tbl>
    <w:p w14:paraId="16A0B134" w14:textId="77777777" w:rsidR="00894B42" w:rsidRPr="002168AF" w:rsidRDefault="00894B42">
      <w:pPr>
        <w:spacing w:after="120"/>
      </w:pPr>
    </w:p>
    <w:p w14:paraId="2DBAC839" w14:textId="77777777" w:rsidR="00894B42" w:rsidRPr="002168AF" w:rsidRDefault="00000000">
      <w:pPr>
        <w:pStyle w:val="Heading2"/>
      </w:pPr>
      <w:r w:rsidRPr="002168AF">
        <w:t>5.2  Recommendation</w:t>
      </w:r>
    </w:p>
    <w:p w14:paraId="719FEC40" w14:textId="77777777" w:rsidR="00894B42" w:rsidRPr="002168AF" w:rsidRDefault="00000000">
      <w:pPr>
        <w:spacing w:after="120"/>
        <w:jc w:val="both"/>
      </w:pPr>
      <w:r w:rsidRPr="002168AF">
        <w:lastRenderedPageBreak/>
        <w:t>The Credit Risk team should build a formal macro-shock stress-testing framework that (a) uses the COVID-19 episode as a calibrated stress scenario, (b) monitors RBI repo rate as a leading indicator, and (c) triggers automatic policy tightening when pre-defined macro thresholds are breached.</w:t>
      </w:r>
    </w:p>
    <w:p w14:paraId="1F374046" w14:textId="77777777" w:rsidR="00894B42" w:rsidRPr="002168AF" w:rsidRDefault="00000000">
      <w:pPr>
        <w:pStyle w:val="Heading3"/>
      </w:pPr>
      <w:r w:rsidRPr="002168AF">
        <w:t>Stress Scenario Library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0606B2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7BFF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B2CF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1938F3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0E37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Scenario 1 — Baseline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3696" w14:textId="77777777" w:rsidR="00894B42" w:rsidRPr="002168AF" w:rsidRDefault="00000000">
            <w:r w:rsidRPr="002168AF">
              <w:rPr>
                <w:sz w:val="20"/>
                <w:szCs w:val="20"/>
              </w:rPr>
              <w:t>GDP growth ≥ 6%; repo rate stable ± 25 bps; no expected change to underwriting policy</w:t>
            </w:r>
          </w:p>
        </w:tc>
      </w:tr>
      <w:tr w:rsidR="00894B42" w:rsidRPr="002168AF" w14:paraId="4BA1A3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F5F7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Scenario 2 — Moderate Stress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D86D" w14:textId="77777777" w:rsidR="00894B42" w:rsidRPr="002168AF" w:rsidRDefault="00000000">
            <w:r w:rsidRPr="002168AF">
              <w:rPr>
                <w:sz w:val="20"/>
                <w:szCs w:val="20"/>
              </w:rPr>
              <w:t xml:space="preserve">GDP growth 3–6%; repo rate increase of 50–100 bps; tighten </w:t>
            </w:r>
            <w:proofErr w:type="spellStart"/>
            <w:r w:rsidRPr="002168AF">
              <w:rPr>
                <w:sz w:val="20"/>
                <w:szCs w:val="20"/>
              </w:rPr>
              <w:t>emi_to_income_ratio</w:t>
            </w:r>
            <w:proofErr w:type="spellEnd"/>
            <w:r w:rsidRPr="002168AF">
              <w:rPr>
                <w:sz w:val="20"/>
                <w:szCs w:val="20"/>
              </w:rPr>
              <w:t xml:space="preserve"> cap by 5 percentage points; increase loan loss provisions by 15%</w:t>
            </w:r>
          </w:p>
        </w:tc>
      </w:tr>
      <w:tr w:rsidR="00894B42" w:rsidRPr="002168AF" w14:paraId="270FC5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2C7A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Scenario 3 — Severe Stress (COVID-Equivalent)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F3D2" w14:textId="77777777" w:rsidR="00894B42" w:rsidRPr="002168AF" w:rsidRDefault="00000000">
            <w:r w:rsidRPr="002168AF">
              <w:rPr>
                <w:sz w:val="20"/>
                <w:szCs w:val="20"/>
              </w:rPr>
              <w:t>GDP contraction or near-zero growth; repo rate change &gt; 100 bps; suspend Grade F–G originations; tighten Grade E product restrictions; increase provisions by 35%; activate portfolio early-warning review</w:t>
            </w:r>
          </w:p>
        </w:tc>
      </w:tr>
      <w:tr w:rsidR="00894B42" w:rsidRPr="002168AF" w14:paraId="20A883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CBEB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Scenario 4 — Tail Risk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B7B5" w14:textId="77777777" w:rsidR="00894B42" w:rsidRPr="002168AF" w:rsidRDefault="00000000">
            <w:r w:rsidRPr="002168AF">
              <w:rPr>
                <w:sz w:val="20"/>
                <w:szCs w:val="20"/>
              </w:rPr>
              <w:t>GDP contraction &gt; 5%; sector-wide credit freeze; halt all unsecured high-risk-purpose originations; activate credit committee oversight for all new approvals above ₹2 lakh</w:t>
            </w:r>
          </w:p>
        </w:tc>
      </w:tr>
    </w:tbl>
    <w:p w14:paraId="7BCCA306" w14:textId="77777777" w:rsidR="00894B42" w:rsidRPr="002168AF" w:rsidRDefault="00894B42">
      <w:pPr>
        <w:spacing w:after="120"/>
      </w:pPr>
    </w:p>
    <w:p w14:paraId="74970A59" w14:textId="77777777" w:rsidR="00894B42" w:rsidRPr="002168AF" w:rsidRDefault="00000000">
      <w:pPr>
        <w:pStyle w:val="Heading3"/>
      </w:pPr>
      <w:r w:rsidRPr="002168AF">
        <w:t>Automated Macro-Monitoring Dashboard</w:t>
      </w:r>
    </w:p>
    <w:p w14:paraId="6174EB32" w14:textId="77777777" w:rsidR="00894B42" w:rsidRPr="002168AF" w:rsidRDefault="00000000">
      <w:pPr>
        <w:spacing w:after="120"/>
        <w:jc w:val="both"/>
      </w:pPr>
      <w:r w:rsidRPr="002168AF">
        <w:t xml:space="preserve">The Credit Risk team should implement a live monitoring dashboard that tracks the following indicators </w:t>
      </w:r>
      <w:proofErr w:type="gramStart"/>
      <w:r w:rsidRPr="002168AF">
        <w:t>on a monthly basis</w:t>
      </w:r>
      <w:proofErr w:type="gramEnd"/>
      <w:r w:rsidRPr="002168AF">
        <w:t xml:space="preserve"> and auto-triggers alerts:</w:t>
      </w:r>
    </w:p>
    <w:p w14:paraId="5D6FC889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RBI Repo Rate: alert if change exceeds 25 bps in a single MPC meeting; elevate to Scenario 2 if cumulative change exceeds 100 bps in 12 months</w:t>
      </w:r>
    </w:p>
    <w:p w14:paraId="246D14C6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GDP Growth Rate (CSO quarterly advance estimate): alert if growth falls below 5%; elevate to Scenario 3 if growth falls below 3%</w:t>
      </w:r>
    </w:p>
    <w:p w14:paraId="07C2C414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CPI Inflation (to monitor </w:t>
      </w:r>
      <w:proofErr w:type="spellStart"/>
      <w:r w:rsidRPr="002168AF">
        <w:t>real_interest_rate</w:t>
      </w:r>
      <w:proofErr w:type="spellEnd"/>
      <w:r w:rsidRPr="002168AF">
        <w:t xml:space="preserve"> squeeze): alert if CPI exceeds 6% for two consecutive months</w:t>
      </w:r>
    </w:p>
    <w:p w14:paraId="55E8E611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Portfolio Early Warning Rate: alert if the 30-day past-due rate increases by more than 150 bps quarter-on-quarter</w:t>
      </w:r>
    </w:p>
    <w:p w14:paraId="62CEF9DB" w14:textId="77777777" w:rsidR="00894B42" w:rsidRPr="002168AF" w:rsidRDefault="00000000">
      <w:pPr>
        <w:pStyle w:val="Heading3"/>
      </w:pPr>
      <w:r w:rsidRPr="002168AF">
        <w:t>Lag-Adjusted Provisioning Rule</w:t>
      </w:r>
    </w:p>
    <w:p w14:paraId="3954450A" w14:textId="77777777" w:rsidR="00894B42" w:rsidRPr="002168AF" w:rsidRDefault="00000000">
      <w:pPr>
        <w:spacing w:after="120"/>
        <w:jc w:val="both"/>
      </w:pPr>
      <w:r w:rsidRPr="002168AF">
        <w:t>Given the 12–</w:t>
      </w:r>
      <w:proofErr w:type="gramStart"/>
      <w:r w:rsidRPr="002168AF">
        <w:t>18 month</w:t>
      </w:r>
      <w:proofErr w:type="gramEnd"/>
      <w:r w:rsidRPr="002168AF">
        <w:t xml:space="preserve"> lag between repo rate changes and default rate response, the following rule should be adopted:</w:t>
      </w:r>
    </w:p>
    <w:p w14:paraId="70E95B7C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When the RBI raises repo rate by 50 bps or more, increase forward-looking Expected Credit Loss (ECL) provisions by 10% for the Grades D–G book, to be reviewed and released if the default rate does not materialise within 18 months</w:t>
      </w:r>
    </w:p>
    <w:p w14:paraId="43678F7F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This lag-adjusted provisioning avoids both under-provisioning (which leads to P&amp;L shocks when defaults arrive) and over-provisioning (which unnecessarily compresses return on equity)</w:t>
      </w:r>
    </w:p>
    <w:p w14:paraId="76F8C0E4" w14:textId="77777777" w:rsidR="00894B42" w:rsidRPr="002168AF" w:rsidRDefault="00000000">
      <w:pPr>
        <w:pStyle w:val="Heading2"/>
      </w:pPr>
      <w:r w:rsidRPr="002168AF">
        <w:t>5.3  COVID Scenario Re-Run</w:t>
      </w:r>
    </w:p>
    <w:p w14:paraId="400CEF27" w14:textId="77777777" w:rsidR="00894B42" w:rsidRPr="002168AF" w:rsidRDefault="00000000">
      <w:pPr>
        <w:spacing w:after="120"/>
        <w:jc w:val="both"/>
      </w:pPr>
      <w:r w:rsidRPr="002168AF">
        <w:lastRenderedPageBreak/>
        <w:t xml:space="preserve">The </w:t>
      </w:r>
      <w:proofErr w:type="spellStart"/>
      <w:r w:rsidRPr="002168AF">
        <w:t>covid_issue_year_flag</w:t>
      </w:r>
      <w:proofErr w:type="spellEnd"/>
      <w:r w:rsidRPr="002168AF">
        <w:t xml:space="preserve"> analysis (Phase 3 — d) demonstrated a statistically significant difference in </w:t>
      </w:r>
      <w:proofErr w:type="spellStart"/>
      <w:r w:rsidRPr="002168AF">
        <w:t>lgd_pct</w:t>
      </w:r>
      <w:proofErr w:type="spellEnd"/>
      <w:r w:rsidRPr="002168AF">
        <w:t xml:space="preserve"> between pandemic-year and non-pandemic-year loans. This finding should be operationalised by:</w:t>
      </w:r>
    </w:p>
    <w:p w14:paraId="4B3F7C9D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Running the Scenario 3 (COVID-Equivalent) stress test against the current portfolio annually as part of the ICAAP (Internal Capital Adequacy Assessment Process)</w:t>
      </w:r>
    </w:p>
    <w:p w14:paraId="5D9C7DE2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>Disclosing the stressed default rate and stressed LGD to the Board Risk Committee every half-year</w:t>
      </w:r>
    </w:p>
    <w:p w14:paraId="579621B0" w14:textId="77777777" w:rsidR="00894B42" w:rsidRPr="002168AF" w:rsidRDefault="00000000">
      <w:pPr>
        <w:pStyle w:val="ListParagraph"/>
        <w:numPr>
          <w:ilvl w:val="0"/>
          <w:numId w:val="2"/>
        </w:numPr>
        <w:spacing w:after="80"/>
      </w:pPr>
      <w:r w:rsidRPr="002168AF">
        <w:t xml:space="preserve">Ensuring the provisioning buffer covers at least the Scenario 3 expected loss </w:t>
      </w:r>
      <w:proofErr w:type="gramStart"/>
      <w:r w:rsidRPr="002168AF">
        <w:t>estimate at all times</w:t>
      </w:r>
      <w:proofErr w:type="gramEnd"/>
    </w:p>
    <w:p w14:paraId="35974DEE" w14:textId="77777777" w:rsidR="00894B42" w:rsidRPr="002168AF" w:rsidRDefault="00000000">
      <w:pPr>
        <w:pStyle w:val="Heading2"/>
      </w:pPr>
      <w:r w:rsidRPr="002168AF">
        <w:t>5.4  Expected Outcome</w:t>
      </w:r>
    </w:p>
    <w:p w14:paraId="08957A02" w14:textId="77777777" w:rsidR="00894B42" w:rsidRPr="002168AF" w:rsidRDefault="00000000">
      <w:pPr>
        <w:spacing w:after="120"/>
        <w:jc w:val="both"/>
      </w:pPr>
      <w:r w:rsidRPr="002168AF">
        <w:t xml:space="preserve">A repo-rate-triggered, lag-adjusted provisioning model transforms a reactive risk management posture (responding to defaults after they appear) into a proactive one (building buffers before macro-stress translates into portfolio deterioration). The EDA evidence from 2010–2024 annual default rates </w:t>
      </w:r>
      <w:proofErr w:type="gramStart"/>
      <w:r w:rsidRPr="002168AF">
        <w:t>provides</w:t>
      </w:r>
      <w:proofErr w:type="gramEnd"/>
      <w:r w:rsidRPr="002168AF">
        <w:t xml:space="preserve"> a 14-year calibration window that is far richer than most internal stress-test datasets, and the COVID episode provides a validated severe-stress anchor point.</w:t>
      </w:r>
    </w:p>
    <w:p w14:paraId="69764A55" w14:textId="77777777" w:rsidR="00894B42" w:rsidRPr="002168AF" w:rsidRDefault="00000000">
      <w:pPr>
        <w:pStyle w:val="Heading2"/>
      </w:pPr>
      <w:r w:rsidRPr="002168AF">
        <w:t>5.5  Implementation Roadmap</w:t>
      </w:r>
    </w:p>
    <w:p w14:paraId="7A0E9423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Q1 FY 2026–27: Formalise the four-scenario stress library; present to Board Risk Committee for approval; appoint a Macro Risk Officer responsible for monthly monitoring</w:t>
      </w:r>
    </w:p>
    <w:p w14:paraId="1C560D2F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Q2 FY 2026–27: Build the macro-monitoring dashboard; integrate real-time feeds from RBI, CSO, and MOSPI; connect to the loan origination system for automatic policy tightening triggers</w:t>
      </w:r>
    </w:p>
    <w:p w14:paraId="2C449154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Q3 FY 2026–27: Conduct the first full Scenario 3 (COVID-Equivalent) stress test against the live portfolio; publish Internal Stress Test Report to the Board</w:t>
      </w:r>
    </w:p>
    <w:p w14:paraId="5D880168" w14:textId="77777777" w:rsidR="00894B42" w:rsidRPr="002168AF" w:rsidRDefault="00000000">
      <w:pPr>
        <w:pStyle w:val="ListParagraph"/>
        <w:numPr>
          <w:ilvl w:val="0"/>
          <w:numId w:val="3"/>
        </w:numPr>
        <w:spacing w:after="80"/>
      </w:pPr>
      <w:r w:rsidRPr="002168AF">
        <w:t>Q4 FY 2026–27: Review whether the lag-adjusted provisioning rule has been triggered during the year; recalibrate lag estimate using the current year's repo rate and default rate data</w:t>
      </w:r>
    </w:p>
    <w:p w14:paraId="45AACDF8" w14:textId="77777777" w:rsidR="00894B42" w:rsidRPr="002168AF" w:rsidRDefault="00894B42">
      <w:pPr>
        <w:spacing w:after="120"/>
      </w:pPr>
    </w:p>
    <w:p w14:paraId="7B2C5F1C" w14:textId="77777777" w:rsidR="00574F04" w:rsidRDefault="00574F04"/>
    <w:p w14:paraId="54B4E416" w14:textId="77777777" w:rsidR="00574F04" w:rsidRDefault="00574F04"/>
    <w:p w14:paraId="01A39DE1" w14:textId="77777777" w:rsidR="00574F04" w:rsidRDefault="00574F04"/>
    <w:p w14:paraId="17866465" w14:textId="77777777" w:rsidR="00574F04" w:rsidRDefault="00574F04"/>
    <w:p w14:paraId="65D31CAF" w14:textId="77777777" w:rsidR="00574F04" w:rsidRDefault="00574F04"/>
    <w:p w14:paraId="7909061B" w14:textId="77777777" w:rsidR="00574F04" w:rsidRDefault="00574F04"/>
    <w:p w14:paraId="22766341" w14:textId="77777777" w:rsidR="00574F04" w:rsidRDefault="00574F04"/>
    <w:p w14:paraId="1CCE0C16" w14:textId="77777777" w:rsidR="00574F04" w:rsidRDefault="00574F04"/>
    <w:p w14:paraId="03099E23" w14:textId="77777777" w:rsidR="00574F04" w:rsidRDefault="00574F04"/>
    <w:p w14:paraId="787BC430" w14:textId="77777777" w:rsidR="00574F04" w:rsidRDefault="00574F04"/>
    <w:p w14:paraId="24BC20AC" w14:textId="77777777" w:rsidR="00574F04" w:rsidRDefault="00574F04"/>
    <w:p w14:paraId="4DDAB179" w14:textId="77777777" w:rsidR="00574F04" w:rsidRDefault="00574F04"/>
    <w:p w14:paraId="32FC6CB0" w14:textId="77777777" w:rsidR="00574F04" w:rsidRDefault="00574F04"/>
    <w:p w14:paraId="414ED62A" w14:textId="77777777" w:rsidR="00574F04" w:rsidRDefault="00574F04"/>
    <w:p w14:paraId="44AC7F1B" w14:textId="18E26BD0" w:rsidR="00894B42" w:rsidRPr="002168AF" w:rsidRDefault="00000000">
      <w:r w:rsidRPr="002168AF">
        <w:br/>
      </w:r>
    </w:p>
    <w:p w14:paraId="28950ABF" w14:textId="77777777" w:rsidR="00894B42" w:rsidRPr="002168AF" w:rsidRDefault="00000000">
      <w:pPr>
        <w:pStyle w:val="Heading1"/>
        <w:pBdr>
          <w:bottom w:val="single" w:sz="6" w:space="1" w:color="1F4E79"/>
        </w:pBdr>
      </w:pPr>
      <w:r w:rsidRPr="002168AF">
        <w:lastRenderedPageBreak/>
        <w:t>Conclusion &amp; Cross-Cutting Observations</w:t>
      </w:r>
    </w:p>
    <w:p w14:paraId="78CA165A" w14:textId="77777777" w:rsidR="00894B42" w:rsidRPr="002168AF" w:rsidRDefault="00000000">
      <w:pPr>
        <w:spacing w:after="120"/>
        <w:jc w:val="both"/>
      </w:pPr>
      <w:r w:rsidRPr="002168AF">
        <w:t>The five recommendations presented in this report are designed to be implemented independently, each resting on its own EDA evidence base. However, several cross-cutting themes emerge that will amplify the impact when the recommendations are pursued in combination:</w:t>
      </w:r>
    </w:p>
    <w:p w14:paraId="7BC87A25" w14:textId="77777777" w:rsidR="00894B42" w:rsidRPr="002168AF" w:rsidRDefault="00894B4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4B42" w:rsidRPr="002168AF" w14:paraId="41FB79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DC98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Metric / Finding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967F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EDA Evidence</w:t>
            </w:r>
          </w:p>
        </w:tc>
      </w:tr>
      <w:tr w:rsidR="00894B42" w:rsidRPr="002168AF" w14:paraId="47F781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7EDF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CIBIL is necessary but not sufficient (R-1)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2E71" w14:textId="77777777" w:rsidR="00894B42" w:rsidRPr="002168AF" w:rsidRDefault="00000000">
            <w:r w:rsidRPr="002168AF">
              <w:rPr>
                <w:sz w:val="20"/>
                <w:szCs w:val="20"/>
              </w:rPr>
              <w:t>The distributional overlap finding means every other recommendation must provide a complementary risk screen. R-2 (EMI cap), R-3 (grade restrictions), and R-4 (purpose policy) all serve this function for different risk dimensions.</w:t>
            </w:r>
          </w:p>
        </w:tc>
      </w:tr>
      <w:tr w:rsidR="00894B42" w:rsidRPr="002168AF" w14:paraId="4F337D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7E19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Repayment burden is the strongest predictive signal (R-2)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922C" w14:textId="77777777" w:rsidR="00894B42" w:rsidRPr="002168AF" w:rsidRDefault="00000000">
            <w:proofErr w:type="spellStart"/>
            <w:r w:rsidRPr="002168AF">
              <w:rPr>
                <w:sz w:val="20"/>
                <w:szCs w:val="20"/>
              </w:rPr>
              <w:t>emi_to_income_ratio's</w:t>
            </w:r>
            <w:proofErr w:type="spellEnd"/>
            <w:r w:rsidRPr="002168AF">
              <w:rPr>
                <w:sz w:val="20"/>
                <w:szCs w:val="20"/>
              </w:rPr>
              <w:t xml:space="preserve"> top-ranking correlation with </w:t>
            </w:r>
            <w:proofErr w:type="spellStart"/>
            <w:r w:rsidRPr="002168AF">
              <w:rPr>
                <w:sz w:val="20"/>
                <w:szCs w:val="20"/>
              </w:rPr>
              <w:t>lgd_pct</w:t>
            </w:r>
            <w:proofErr w:type="spellEnd"/>
            <w:r w:rsidRPr="002168AF">
              <w:rPr>
                <w:sz w:val="20"/>
                <w:szCs w:val="20"/>
              </w:rPr>
              <w:t xml:space="preserve"> means that any model or policy that excludes it is leaving the most discriminating signal on the table. R-1's multi-feature override should always include </w:t>
            </w:r>
            <w:proofErr w:type="spellStart"/>
            <w:r w:rsidRPr="002168AF">
              <w:rPr>
                <w:sz w:val="20"/>
                <w:szCs w:val="20"/>
              </w:rPr>
              <w:t>emi_to_income_ratio</w:t>
            </w:r>
            <w:proofErr w:type="spellEnd"/>
            <w:r w:rsidRPr="002168AF">
              <w:rPr>
                <w:sz w:val="20"/>
                <w:szCs w:val="20"/>
              </w:rPr>
              <w:t>.</w:t>
            </w:r>
          </w:p>
        </w:tc>
      </w:tr>
      <w:tr w:rsidR="00894B42" w:rsidRPr="002168AF" w14:paraId="429981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1D42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The grade system is internally consistent but needs sharper enforcement at the tail (R-3)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2ACA" w14:textId="77777777" w:rsidR="00894B42" w:rsidRPr="002168AF" w:rsidRDefault="00000000">
            <w:r w:rsidRPr="002168AF">
              <w:rPr>
                <w:sz w:val="20"/>
                <w:szCs w:val="20"/>
              </w:rPr>
              <w:t xml:space="preserve">The monotonicity finding is good news for the institution's risk framework, but the </w:t>
            </w:r>
            <w:proofErr w:type="gramStart"/>
            <w:r w:rsidRPr="002168AF">
              <w:rPr>
                <w:sz w:val="20"/>
                <w:szCs w:val="20"/>
              </w:rPr>
              <w:t>single-step</w:t>
            </w:r>
            <w:proofErr w:type="gramEnd"/>
            <w:r w:rsidRPr="002168AF">
              <w:rPr>
                <w:sz w:val="20"/>
                <w:szCs w:val="20"/>
              </w:rPr>
              <w:t xml:space="preserve"> jump at the Grade D/E boundary demands a structural policy break at that point, not merely a pricing increment.</w:t>
            </w:r>
          </w:p>
        </w:tc>
      </w:tr>
      <w:tr w:rsidR="00894B42" w:rsidRPr="002168AF" w14:paraId="666092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C0DE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Loan purpose provides low-cost, high-value risk information (R-4)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B9D9" w14:textId="77777777" w:rsidR="00894B42" w:rsidRPr="002168AF" w:rsidRDefault="00000000">
            <w:r w:rsidRPr="002168AF">
              <w:rPr>
                <w:sz w:val="20"/>
                <w:szCs w:val="20"/>
              </w:rPr>
              <w:t>Unlike income or employment verification, loan purpose is stated by the borrower at zero incremental cost. Building purpose-specific scorecards is therefore a high-ROI investment in underwriting precision.</w:t>
            </w:r>
          </w:p>
        </w:tc>
      </w:tr>
      <w:tr w:rsidR="00894B42" w:rsidRPr="002168AF" w14:paraId="54D4DA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417C" w14:textId="77777777" w:rsidR="00894B42" w:rsidRPr="002168AF" w:rsidRDefault="00000000">
            <w:r w:rsidRPr="002168AF">
              <w:rPr>
                <w:b/>
                <w:bCs/>
                <w:sz w:val="20"/>
                <w:szCs w:val="20"/>
              </w:rPr>
              <w:t>Macro shocks are foreseeable with sufficient lead time (R-5)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08E3" w14:textId="77777777" w:rsidR="00894B42" w:rsidRPr="002168AF" w:rsidRDefault="00000000">
            <w:r w:rsidRPr="002168AF">
              <w:rPr>
                <w:sz w:val="20"/>
                <w:szCs w:val="20"/>
              </w:rPr>
              <w:t>The 12–</w:t>
            </w:r>
            <w:proofErr w:type="gramStart"/>
            <w:r w:rsidRPr="002168AF">
              <w:rPr>
                <w:sz w:val="20"/>
                <w:szCs w:val="20"/>
              </w:rPr>
              <w:t>18 month</w:t>
            </w:r>
            <w:proofErr w:type="gramEnd"/>
            <w:r w:rsidRPr="002168AF">
              <w:rPr>
                <w:sz w:val="20"/>
                <w:szCs w:val="20"/>
              </w:rPr>
              <w:t xml:space="preserve"> repo rate lag means the institution already has a reasonably long warning horizon. The failure to act on that signal in advance is a process gap, not a data gap.</w:t>
            </w:r>
          </w:p>
        </w:tc>
      </w:tr>
    </w:tbl>
    <w:p w14:paraId="04C7ED7B" w14:textId="77777777" w:rsidR="00894B42" w:rsidRPr="002168AF" w:rsidRDefault="00894B42">
      <w:pPr>
        <w:spacing w:after="120"/>
      </w:pPr>
    </w:p>
    <w:p w14:paraId="04EE46ED" w14:textId="77777777" w:rsidR="00894B42" w:rsidRPr="002168AF" w:rsidRDefault="00000000">
      <w:pPr>
        <w:spacing w:after="120"/>
        <w:jc w:val="both"/>
      </w:pPr>
      <w:r w:rsidRPr="002168AF">
        <w:t>Implemented together, these five recommendations are expected to reduce portfolio default rates, improve risk-adjusted pricing accuracy, and build institutional resilience to macroeconomic shocks — all within the operational and regulatory constraints of a single financial year.</w:t>
      </w:r>
    </w:p>
    <w:p w14:paraId="4423B143" w14:textId="77777777" w:rsidR="00894B42" w:rsidRPr="002168AF" w:rsidRDefault="00894B42">
      <w:pPr>
        <w:spacing w:after="120"/>
      </w:pPr>
    </w:p>
    <w:p w14:paraId="285435E7" w14:textId="6FEAC7D3" w:rsidR="00894B42" w:rsidRPr="002168AF" w:rsidRDefault="00894B42">
      <w:pPr>
        <w:spacing w:before="400"/>
        <w:jc w:val="center"/>
      </w:pPr>
    </w:p>
    <w:sectPr w:rsidR="00894B42" w:rsidRPr="002168A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0EE60" w14:textId="77777777" w:rsidR="001D2A19" w:rsidRDefault="001D2A19">
      <w:r>
        <w:separator/>
      </w:r>
    </w:p>
  </w:endnote>
  <w:endnote w:type="continuationSeparator" w:id="0">
    <w:p w14:paraId="2D3EEF57" w14:textId="77777777" w:rsidR="001D2A19" w:rsidRDefault="001D2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D3482" w14:textId="6251AAC6" w:rsidR="00894B42" w:rsidRDefault="00894B42">
    <w:pPr>
      <w:pBdr>
        <w:top w:val="single" w:sz="4" w:space="1" w:color="1F4E79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B8966" w14:textId="77777777" w:rsidR="001D2A19" w:rsidRDefault="001D2A19">
      <w:r>
        <w:separator/>
      </w:r>
    </w:p>
  </w:footnote>
  <w:footnote w:type="continuationSeparator" w:id="0">
    <w:p w14:paraId="318E4D25" w14:textId="77777777" w:rsidR="001D2A19" w:rsidRDefault="001D2A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F8064" w14:textId="799DCC50" w:rsidR="00894B42" w:rsidRDefault="00894B42">
    <w:pPr>
      <w:pBdr>
        <w:bottom w:val="single" w:sz="4" w:space="1" w:color="1F4E79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E9D"/>
    <w:multiLevelType w:val="hybridMultilevel"/>
    <w:tmpl w:val="9C3C525A"/>
    <w:lvl w:ilvl="0" w:tplc="9D5E88EE">
      <w:start w:val="1"/>
      <w:numFmt w:val="bullet"/>
      <w:lvlText w:val="•"/>
      <w:lvlJc w:val="left"/>
      <w:pPr>
        <w:ind w:left="720" w:hanging="360"/>
      </w:pPr>
    </w:lvl>
    <w:lvl w:ilvl="1" w:tplc="BD9C847E">
      <w:numFmt w:val="decimal"/>
      <w:lvlText w:val=""/>
      <w:lvlJc w:val="left"/>
    </w:lvl>
    <w:lvl w:ilvl="2" w:tplc="41F8304C">
      <w:numFmt w:val="decimal"/>
      <w:lvlText w:val=""/>
      <w:lvlJc w:val="left"/>
    </w:lvl>
    <w:lvl w:ilvl="3" w:tplc="506A81BE">
      <w:numFmt w:val="decimal"/>
      <w:lvlText w:val=""/>
      <w:lvlJc w:val="left"/>
    </w:lvl>
    <w:lvl w:ilvl="4" w:tplc="F3B27894">
      <w:numFmt w:val="decimal"/>
      <w:lvlText w:val=""/>
      <w:lvlJc w:val="left"/>
    </w:lvl>
    <w:lvl w:ilvl="5" w:tplc="4DF2D6CA">
      <w:numFmt w:val="decimal"/>
      <w:lvlText w:val=""/>
      <w:lvlJc w:val="left"/>
    </w:lvl>
    <w:lvl w:ilvl="6" w:tplc="B14668A0">
      <w:numFmt w:val="decimal"/>
      <w:lvlText w:val=""/>
      <w:lvlJc w:val="left"/>
    </w:lvl>
    <w:lvl w:ilvl="7" w:tplc="384E78B8">
      <w:numFmt w:val="decimal"/>
      <w:lvlText w:val=""/>
      <w:lvlJc w:val="left"/>
    </w:lvl>
    <w:lvl w:ilvl="8" w:tplc="B2807668">
      <w:numFmt w:val="decimal"/>
      <w:lvlText w:val=""/>
      <w:lvlJc w:val="left"/>
    </w:lvl>
  </w:abstractNum>
  <w:abstractNum w:abstractNumId="1" w15:restartNumberingAfterBreak="0">
    <w:nsid w:val="19015E88"/>
    <w:multiLevelType w:val="hybridMultilevel"/>
    <w:tmpl w:val="B0923CAC"/>
    <w:lvl w:ilvl="0" w:tplc="EA94C22A">
      <w:start w:val="1"/>
      <w:numFmt w:val="decimal"/>
      <w:lvlText w:val="%1."/>
      <w:lvlJc w:val="left"/>
      <w:pPr>
        <w:ind w:left="720" w:hanging="360"/>
      </w:pPr>
    </w:lvl>
    <w:lvl w:ilvl="1" w:tplc="80248230">
      <w:numFmt w:val="decimal"/>
      <w:lvlText w:val=""/>
      <w:lvlJc w:val="left"/>
    </w:lvl>
    <w:lvl w:ilvl="2" w:tplc="DD50D3FE">
      <w:numFmt w:val="decimal"/>
      <w:lvlText w:val=""/>
      <w:lvlJc w:val="left"/>
    </w:lvl>
    <w:lvl w:ilvl="3" w:tplc="50DEB992">
      <w:numFmt w:val="decimal"/>
      <w:lvlText w:val=""/>
      <w:lvlJc w:val="left"/>
    </w:lvl>
    <w:lvl w:ilvl="4" w:tplc="99908DEC">
      <w:numFmt w:val="decimal"/>
      <w:lvlText w:val=""/>
      <w:lvlJc w:val="left"/>
    </w:lvl>
    <w:lvl w:ilvl="5" w:tplc="02C4963A">
      <w:numFmt w:val="decimal"/>
      <w:lvlText w:val=""/>
      <w:lvlJc w:val="left"/>
    </w:lvl>
    <w:lvl w:ilvl="6" w:tplc="AFB6806A">
      <w:numFmt w:val="decimal"/>
      <w:lvlText w:val=""/>
      <w:lvlJc w:val="left"/>
    </w:lvl>
    <w:lvl w:ilvl="7" w:tplc="C9B24C72">
      <w:numFmt w:val="decimal"/>
      <w:lvlText w:val=""/>
      <w:lvlJc w:val="left"/>
    </w:lvl>
    <w:lvl w:ilvl="8" w:tplc="4AD08EA6">
      <w:numFmt w:val="decimal"/>
      <w:lvlText w:val=""/>
      <w:lvlJc w:val="left"/>
    </w:lvl>
  </w:abstractNum>
  <w:abstractNum w:abstractNumId="2" w15:restartNumberingAfterBreak="0">
    <w:nsid w:val="521F33CD"/>
    <w:multiLevelType w:val="hybridMultilevel"/>
    <w:tmpl w:val="12B2A338"/>
    <w:lvl w:ilvl="0" w:tplc="450E8C48">
      <w:start w:val="1"/>
      <w:numFmt w:val="bullet"/>
      <w:lvlText w:val="●"/>
      <w:lvlJc w:val="left"/>
      <w:pPr>
        <w:ind w:left="720" w:hanging="360"/>
      </w:pPr>
    </w:lvl>
    <w:lvl w:ilvl="1" w:tplc="134802AE">
      <w:start w:val="1"/>
      <w:numFmt w:val="bullet"/>
      <w:lvlText w:val="○"/>
      <w:lvlJc w:val="left"/>
      <w:pPr>
        <w:ind w:left="1440" w:hanging="360"/>
      </w:pPr>
    </w:lvl>
    <w:lvl w:ilvl="2" w:tplc="4B1CF44C">
      <w:start w:val="1"/>
      <w:numFmt w:val="bullet"/>
      <w:lvlText w:val="■"/>
      <w:lvlJc w:val="left"/>
      <w:pPr>
        <w:ind w:left="2160" w:hanging="360"/>
      </w:pPr>
    </w:lvl>
    <w:lvl w:ilvl="3" w:tplc="CC42784E">
      <w:start w:val="1"/>
      <w:numFmt w:val="bullet"/>
      <w:lvlText w:val="●"/>
      <w:lvlJc w:val="left"/>
      <w:pPr>
        <w:ind w:left="2880" w:hanging="360"/>
      </w:pPr>
    </w:lvl>
    <w:lvl w:ilvl="4" w:tplc="A8A203A2">
      <w:start w:val="1"/>
      <w:numFmt w:val="bullet"/>
      <w:lvlText w:val="○"/>
      <w:lvlJc w:val="left"/>
      <w:pPr>
        <w:ind w:left="3600" w:hanging="360"/>
      </w:pPr>
    </w:lvl>
    <w:lvl w:ilvl="5" w:tplc="BD2CF750">
      <w:start w:val="1"/>
      <w:numFmt w:val="bullet"/>
      <w:lvlText w:val="■"/>
      <w:lvlJc w:val="left"/>
      <w:pPr>
        <w:ind w:left="4320" w:hanging="360"/>
      </w:pPr>
    </w:lvl>
    <w:lvl w:ilvl="6" w:tplc="3B0821D6">
      <w:start w:val="1"/>
      <w:numFmt w:val="bullet"/>
      <w:lvlText w:val="●"/>
      <w:lvlJc w:val="left"/>
      <w:pPr>
        <w:ind w:left="5040" w:hanging="360"/>
      </w:pPr>
    </w:lvl>
    <w:lvl w:ilvl="7" w:tplc="88B04574">
      <w:start w:val="1"/>
      <w:numFmt w:val="bullet"/>
      <w:lvlText w:val="●"/>
      <w:lvlJc w:val="left"/>
      <w:pPr>
        <w:ind w:left="5760" w:hanging="360"/>
      </w:pPr>
    </w:lvl>
    <w:lvl w:ilvl="8" w:tplc="D6589910">
      <w:start w:val="1"/>
      <w:numFmt w:val="bullet"/>
      <w:lvlText w:val="●"/>
      <w:lvlJc w:val="left"/>
      <w:pPr>
        <w:ind w:left="6480" w:hanging="360"/>
      </w:pPr>
    </w:lvl>
  </w:abstractNum>
  <w:num w:numId="1" w16cid:durableId="1205875192">
    <w:abstractNumId w:val="2"/>
    <w:lvlOverride w:ilvl="0">
      <w:startOverride w:val="1"/>
    </w:lvlOverride>
  </w:num>
  <w:num w:numId="2" w16cid:durableId="1570578851">
    <w:abstractNumId w:val="0"/>
    <w:lvlOverride w:ilvl="0">
      <w:startOverride w:val="1"/>
    </w:lvlOverride>
  </w:num>
  <w:num w:numId="3" w16cid:durableId="16358677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B42"/>
    <w:rsid w:val="001D2A19"/>
    <w:rsid w:val="002168AF"/>
    <w:rsid w:val="00574F04"/>
    <w:rsid w:val="00810351"/>
    <w:rsid w:val="0089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7045"/>
  <w15:docId w15:val="{F728C03A-B11C-42B3-AD1B-9A9BBF5A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68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8AF"/>
  </w:style>
  <w:style w:type="paragraph" w:styleId="Footer">
    <w:name w:val="footer"/>
    <w:basedOn w:val="Normal"/>
    <w:link w:val="FooterChar"/>
    <w:uiPriority w:val="99"/>
    <w:unhideWhenUsed/>
    <w:rsid w:val="002168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4070</Words>
  <Characters>23199</Characters>
  <Application>Microsoft Office Word</Application>
  <DocSecurity>0</DocSecurity>
  <Lines>193</Lines>
  <Paragraphs>54</Paragraphs>
  <ScaleCrop>false</ScaleCrop>
  <Company/>
  <LinksUpToDate>false</LinksUpToDate>
  <CharactersWithSpaces>27215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vrutika pillai</cp:lastModifiedBy>
  <cp:revision>3</cp:revision>
  <dcterms:created xsi:type="dcterms:W3CDTF">2026-06-07T16:56:00Z</dcterms:created>
  <dcterms:modified xsi:type="dcterms:W3CDTF">2026-06-07T17:03:00Z</dcterms:modified>
</cp:coreProperties>
</file>