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國立臺灣大學研究發展處研究倫理中心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受理本校學生倫理審查申請案所屬院系/所證明書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下列相關資料之研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究計畫，因涉及以人類為研究對象，須送請本校行為與社會科學研究倫理委員會進行倫理審查；另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依據本校1030071814號文及第三次研究倫理諮議會決議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，每一申請案學生僅需自行負擔新臺幣1,000元，其餘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費用差額由校方與院方共同負擔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，各負責差額之50%，並以年結方式專款補撥至行為與社會科學研究倫理中心。如逾期未繳，本中心將不再受理該學院所有師生研究計畫之研究倫理審查案。特此證明：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7654"/>
        <w:tblGridChange w:id="0">
          <w:tblGrid>
            <w:gridCol w:w="1526"/>
            <w:gridCol w:w="7654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學院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電機資訊學院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系/所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資訊網路與多媒體研究所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指導教授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鄭龍磻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學生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陳柏諭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計畫名稱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DFKai-SB" w:cs="DFKai-SB" w:eastAsia="DFKai-SB" w:hAnsi="DFKai-SB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2"/>
                <w:szCs w:val="32"/>
                <w:rtl w:val="0"/>
              </w:rPr>
              <w:t xml:space="preserve">FAIVor Shot：結合直覺性 AI 工具集與專家知識反饋之調酒創作輔助系統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此致  研究倫理中心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4394"/>
        <w:gridCol w:w="2835"/>
        <w:tblGridChange w:id="0">
          <w:tblGrid>
            <w:gridCol w:w="1951"/>
            <w:gridCol w:w="4394"/>
            <w:gridCol w:w="28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簽章/核章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日期：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學生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指導教授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系/所辦公室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學院辦公室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1418" w:left="1418" w:right="1418" w:header="567" w:footer="7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sdt>
      <w:sdtPr>
        <w:id w:val="-326759093"/>
        <w:tag w:val="goog_rdk_0"/>
      </w:sdtPr>
      <w:sdtContent>
        <w:r w:rsidDel="00000000" w:rsidR="00000000" w:rsidRPr="00000000">
          <w:rPr>
            <w:rFonts w:ascii="Gungsuh" w:cs="Gungsuh" w:eastAsia="Gungsuh" w:hAnsi="Gungsu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國立臺灣大學研究倫理中心版權所有 Copyrights© All rights reserved</w:t>
        </w:r>
      </w:sdtContent>
    </w:sdt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sdt>
      <w:sdtPr>
        <w:id w:val="-791483615"/>
        <w:tag w:val="goog_rdk_1"/>
      </w:sdtPr>
      <w:sdtContent>
        <w:r w:rsidDel="00000000" w:rsidR="00000000" w:rsidRPr="00000000">
          <w:rPr>
            <w:rFonts w:ascii="Gungsuh" w:cs="Gungsuh" w:eastAsia="Gungsuh" w:hAnsi="Gungsu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文件版本：2019年10月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頁首">
    <w:name w:val="頁首"/>
    <w:basedOn w:val="內文"/>
    <w:next w:val="頁首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首字元">
    <w:name w:val="頁首 字元"/>
    <w:next w:val="頁首字元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頁尾">
    <w:name w:val="頁尾"/>
    <w:basedOn w:val="內文"/>
    <w:next w:val="頁尾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尾字元">
    <w:name w:val="頁尾 字元"/>
    <w:next w:val="頁尾字元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表格格線">
    <w:name w:val="表格格線"/>
    <w:basedOn w:val="表格內文"/>
    <w:next w:val="表格格線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格線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註解方塊文字">
    <w:name w:val="註解方塊文字"/>
    <w:basedOn w:val="內文"/>
    <w:next w:val="註解方塊文字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新細明體" w:hAnsi="Cambria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character" w:styleId="註解方塊文字字元">
    <w:name w:val="註解方塊文字 字元"/>
    <w:next w:val="註解方塊文字字元"/>
    <w:autoRedefine w:val="0"/>
    <w:hidden w:val="0"/>
    <w:qFormat w:val="0"/>
    <w:rPr>
      <w:rFonts w:ascii="Cambria" w:cs="Times New Roman" w:eastAsia="新細明體" w:hAnsi="Cambria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FwBLkfg+p9rzBKzJLcyxnCn9A==">CgMxLjAaJQoBMBIgCh4IB0IaCg9UaW1lcyBOZXcgUm9tYW4SB0d1bmdzdWgaJQoBMRIgCh4IB0IaCg9UaW1lcyBOZXcgUm9tYW4SB0d1bmdzdWg4AHIhMU5vSkNvRjJFUmZoc19pS2VXb1NnOWNCZWRWcEN1UXE0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2015-01-12T06:54:00Z</dcterms:created>
  <dc:creator>Pigy</dc:creator>
</cp:coreProperties>
</file>