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29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33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lab10 и текстовый файл lab10-1.asm.</w:t>
      </w:r>
    </w:p>
    <w:p>
      <w:pPr>
        <w:pStyle w:val="CaptionedFigure"/>
      </w:pPr>
      <w:bookmarkStart w:id="24" w:name="fig:001"/>
      <w:r>
        <w:drawing>
          <wp:inline>
            <wp:extent cx="4902413" cy="437989"/>
            <wp:effectExtent b="0" l="0" r="0" t="0"/>
            <wp:docPr descr="Рис. 1: Создание каталога lab10 и файла lab10-1.asm." title="" id="2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</w:t>
      </w:r>
      <w:r>
        <w:t xml:space="preserve"> </w:t>
      </w:r>
      <w:r>
        <w:rPr>
          <w:iCs/>
          <w:i/>
        </w:rPr>
        <w:t xml:space="preserve">Создание каталога lab10 и файла lab10-1.asm.</w:t>
      </w:r>
    </w:p>
    <w:p>
      <w:pPr>
        <w:numPr>
          <w:ilvl w:val="0"/>
          <w:numId w:val="1002"/>
        </w:numPr>
        <w:pStyle w:val="Compact"/>
      </w:pPr>
      <w:r>
        <w:t xml:space="preserve">Заполним текстовый файл lab10-1.asm.</w:t>
      </w:r>
    </w:p>
    <w:p>
      <w:pPr>
        <w:pStyle w:val="CaptionedFigure"/>
      </w:pPr>
      <w:bookmarkStart w:id="28" w:name="fig:002"/>
      <w:r>
        <w:drawing>
          <wp:inline>
            <wp:extent cx="5334000" cy="4350980"/>
            <wp:effectExtent b="0" l="0" r="0" t="0"/>
            <wp:docPr descr="Рис. 2: Текст программы в файле lab10-1.asm." title="" id="2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</w:t>
      </w:r>
      <w:r>
        <w:t xml:space="preserve"> </w:t>
      </w:r>
      <w:r>
        <w:rPr>
          <w:iCs/>
          <w:i/>
        </w:rPr>
        <w:t xml:space="preserve">Текст программы в файле lab10-1.asm.</w:t>
      </w:r>
    </w:p>
    <w:p>
      <w:pPr>
        <w:numPr>
          <w:ilvl w:val="0"/>
          <w:numId w:val="1003"/>
        </w:numPr>
        <w:pStyle w:val="Compact"/>
      </w:pPr>
      <w:r>
        <w:t xml:space="preserve">Создадим исполняемый файл и проверим его работу.</w:t>
      </w:r>
    </w:p>
    <w:p>
      <w:pPr>
        <w:pStyle w:val="CaptionedFigure"/>
      </w:pPr>
      <w:bookmarkStart w:id="32" w:name="fig:003"/>
      <w:r>
        <w:drawing>
          <wp:inline>
            <wp:extent cx="4948517" cy="845243"/>
            <wp:effectExtent b="0" l="0" r="0" t="0"/>
            <wp:docPr descr="Рис. 3: Создание исполняемого файла и его запуск." title="" id="3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p>
      <w:pPr>
        <w:numPr>
          <w:ilvl w:val="0"/>
          <w:numId w:val="1004"/>
        </w:numPr>
        <w:pStyle w:val="Compact"/>
      </w:pPr>
      <w:r>
        <w:t xml:space="preserve">Изменим текст программы, добавив подпрограмму _subcalcul в подпрограмму _calcul, для вычисления выражения f(g(x)), где x вводится с клавиатуры, f(x) = 2x + 7, g(x) = 3x − 1.</w:t>
      </w:r>
    </w:p>
    <w:p>
      <w:pPr>
        <w:pStyle w:val="CaptionedFigure"/>
      </w:pPr>
      <w:bookmarkStart w:id="36" w:name="fig:004"/>
      <w:r>
        <w:drawing>
          <wp:inline>
            <wp:extent cx="5334000" cy="4918946"/>
            <wp:effectExtent b="0" l="0" r="0" t="0"/>
            <wp:docPr descr="Рис. 4: Измененный текст программы в файле lab10-1.asm." title="" id="3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</w:t>
      </w:r>
      <w:r>
        <w:t xml:space="preserve"> </w:t>
      </w:r>
      <w:r>
        <w:rPr>
          <w:iCs/>
          <w:i/>
        </w:rPr>
        <w:t xml:space="preserve">Измененный текст программы в файле lab10-1.asm.</w:t>
      </w:r>
    </w:p>
    <w:p>
      <w:pPr>
        <w:numPr>
          <w:ilvl w:val="0"/>
          <w:numId w:val="1005"/>
        </w:numPr>
        <w:pStyle w:val="Compact"/>
      </w:pPr>
      <w:r>
        <w:t xml:space="preserve">Создадим исполняемый файл и проверим его работу.</w:t>
      </w:r>
    </w:p>
    <w:p>
      <w:pPr>
        <w:pStyle w:val="CaptionedFigure"/>
      </w:pPr>
      <w:bookmarkStart w:id="40" w:name="fig:005"/>
      <w:r>
        <w:drawing>
          <wp:inline>
            <wp:extent cx="4917781" cy="960504"/>
            <wp:effectExtent b="0" l="0" r="0" t="0"/>
            <wp:docPr descr="Рис. 5: Создание исполняемого файла и его запуск." title="" id="3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p>
      <w:pPr>
        <w:numPr>
          <w:ilvl w:val="0"/>
          <w:numId w:val="1006"/>
        </w:numPr>
        <w:pStyle w:val="Compact"/>
      </w:pPr>
      <w:r>
        <w:t xml:space="preserve">Создадим текстовый файл lab10-2.asm.</w:t>
      </w:r>
    </w:p>
    <w:p>
      <w:pPr>
        <w:pStyle w:val="CaptionedFigure"/>
      </w:pPr>
      <w:bookmarkStart w:id="44" w:name="fig:006"/>
      <w:r>
        <w:drawing>
          <wp:inline>
            <wp:extent cx="4948517" cy="145996"/>
            <wp:effectExtent b="0" l="0" r="0" t="0"/>
            <wp:docPr descr="Рис. 6: Создание текстового файла lab10-2.asm." title="" id="4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</w:t>
      </w:r>
      <w:r>
        <w:t xml:space="preserve"> </w:t>
      </w:r>
      <w:r>
        <w:rPr>
          <w:iCs/>
          <w:i/>
        </w:rPr>
        <w:t xml:space="preserve">Создание текстового файла lab10-2.asm.</w:t>
      </w:r>
    </w:p>
    <w:p>
      <w:pPr>
        <w:numPr>
          <w:ilvl w:val="0"/>
          <w:numId w:val="1007"/>
        </w:numPr>
        <w:pStyle w:val="Compact"/>
      </w:pPr>
      <w:r>
        <w:t xml:space="preserve">Заполним файл lab10-2.asm.</w:t>
      </w:r>
    </w:p>
    <w:p>
      <w:pPr>
        <w:pStyle w:val="CaptionedFigure"/>
      </w:pPr>
      <w:bookmarkStart w:id="48" w:name="fig:007"/>
      <w:r>
        <w:drawing>
          <wp:inline>
            <wp:extent cx="5334000" cy="2976986"/>
            <wp:effectExtent b="0" l="0" r="0" t="0"/>
            <wp:docPr descr="Рис. 7: Текст программы в файле lab10-2.asm." title="" id="4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</w:t>
      </w:r>
      <w:r>
        <w:t xml:space="preserve"> </w:t>
      </w:r>
      <w:r>
        <w:rPr>
          <w:iCs/>
          <w:i/>
        </w:rPr>
        <w:t xml:space="preserve">Текст программы в файле lab10-2.asm.</w:t>
      </w:r>
    </w:p>
    <w:p>
      <w:pPr>
        <w:numPr>
          <w:ilvl w:val="0"/>
          <w:numId w:val="1008"/>
        </w:numPr>
        <w:pStyle w:val="Compact"/>
      </w:pPr>
      <w:r>
        <w:t xml:space="preserve">Создадим исполняемый фай и проверим его работу.</w:t>
      </w:r>
    </w:p>
    <w:p>
      <w:pPr>
        <w:pStyle w:val="CaptionedFigure"/>
      </w:pPr>
      <w:bookmarkStart w:id="52" w:name="fig:008"/>
      <w:r>
        <w:drawing>
          <wp:inline>
            <wp:extent cx="4963885" cy="560934"/>
            <wp:effectExtent b="0" l="0" r="0" t="0"/>
            <wp:docPr descr="Рис. 8: Создание исполняемого файла и его запуск." title="" id="5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p>
      <w:pPr>
        <w:numPr>
          <w:ilvl w:val="0"/>
          <w:numId w:val="1009"/>
        </w:numPr>
        <w:pStyle w:val="Compact"/>
      </w:pPr>
      <w:r>
        <w:t xml:space="preserve">Загрузим исполняемый файл в отладчик gdb.</w:t>
      </w:r>
    </w:p>
    <w:p>
      <w:pPr>
        <w:pStyle w:val="CaptionedFigure"/>
      </w:pPr>
      <w:bookmarkStart w:id="56" w:name="fig:009"/>
      <w:r>
        <w:drawing>
          <wp:inline>
            <wp:extent cx="4948517" cy="2512678"/>
            <wp:effectExtent b="0" l="0" r="0" t="0"/>
            <wp:docPr descr="Рис. 9: Загрузка исполняемого файла на gdb." title="" id="5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25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</w:t>
      </w:r>
      <w:r>
        <w:t xml:space="preserve"> </w:t>
      </w:r>
      <w:r>
        <w:rPr>
          <w:iCs/>
          <w:i/>
        </w:rPr>
        <w:t xml:space="preserve">Загрузка исполняемого файла на gdb.</w:t>
      </w:r>
    </w:p>
    <w:p>
      <w:pPr>
        <w:numPr>
          <w:ilvl w:val="0"/>
          <w:numId w:val="1010"/>
        </w:numPr>
        <w:pStyle w:val="Compact"/>
      </w:pPr>
      <w:r>
        <w:t xml:space="preserve">Проверим работу программы, запустив ее в оболочке GDB с помощью команды run.</w:t>
      </w:r>
    </w:p>
    <w:p>
      <w:pPr>
        <w:pStyle w:val="CaptionedFigure"/>
      </w:pPr>
      <w:bookmarkStart w:id="60" w:name="fig:010"/>
      <w:r>
        <w:drawing>
          <wp:inline>
            <wp:extent cx="4940833" cy="576302"/>
            <wp:effectExtent b="0" l="0" r="0" t="0"/>
            <wp:docPr descr="Рис. 10: Запуск программы." title="" id="5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</w:t>
      </w:r>
      <w:r>
        <w:t xml:space="preserve"> </w:t>
      </w:r>
      <w:r>
        <w:rPr>
          <w:iCs/>
          <w:i/>
        </w:rPr>
        <w:t xml:space="preserve">Запуск программы.</w:t>
      </w:r>
    </w:p>
    <w:p>
      <w:pPr>
        <w:numPr>
          <w:ilvl w:val="0"/>
          <w:numId w:val="1011"/>
        </w:numPr>
        <w:pStyle w:val="Compact"/>
      </w:pPr>
      <w:r>
        <w:t xml:space="preserve">Установим брейкпоинт на метку _start и запустим.</w:t>
      </w:r>
    </w:p>
    <w:p>
      <w:pPr>
        <w:pStyle w:val="CaptionedFigure"/>
      </w:pPr>
      <w:bookmarkStart w:id="64" w:name="fig:011"/>
      <w:r>
        <w:drawing>
          <wp:inline>
            <wp:extent cx="4940833" cy="1121868"/>
            <wp:effectExtent b="0" l="0" r="0" t="0"/>
            <wp:docPr descr="Рис. 11: Установка брейкпоинта и запуск программы." title="" id="6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1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</w:t>
      </w:r>
      <w:r>
        <w:t xml:space="preserve"> </w:t>
      </w:r>
      <w:r>
        <w:rPr>
          <w:iCs/>
          <w:i/>
        </w:rPr>
        <w:t xml:space="preserve">Установка брейкпоинта и запуск программы.</w:t>
      </w:r>
    </w:p>
    <w:p>
      <w:pPr>
        <w:numPr>
          <w:ilvl w:val="0"/>
          <w:numId w:val="1012"/>
        </w:numPr>
        <w:pStyle w:val="Compact"/>
      </w:pPr>
      <w:r>
        <w:t xml:space="preserve">Посмотрим дисассимилированный код программы с помощью команды disassemble начиная с метки _start.</w:t>
      </w:r>
    </w:p>
    <w:p>
      <w:pPr>
        <w:pStyle w:val="CaptionedFigure"/>
      </w:pPr>
      <w:bookmarkStart w:id="68" w:name="fig:012"/>
      <w:r>
        <w:drawing>
          <wp:inline>
            <wp:extent cx="4963885" cy="2374366"/>
            <wp:effectExtent b="0" l="0" r="0" t="0"/>
            <wp:docPr descr="Рис. 12: Дисассимилированный код." title="" id="6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37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</w:t>
      </w:r>
      <w:r>
        <w:t xml:space="preserve"> </w:t>
      </w:r>
      <w:r>
        <w:rPr>
          <w:iCs/>
          <w:i/>
        </w:rPr>
        <w:t xml:space="preserve">Дисассимилированный код.</w:t>
      </w:r>
    </w:p>
    <w:p>
      <w:pPr>
        <w:numPr>
          <w:ilvl w:val="0"/>
          <w:numId w:val="1013"/>
        </w:numPr>
        <w:pStyle w:val="Compact"/>
      </w:pPr>
      <w:r>
        <w:t xml:space="preserve">Переключимся на отображение команд с Intel’овским синтаксисом, введя команду set disassembly-flavor intel.</w:t>
      </w:r>
    </w:p>
    <w:p>
      <w:pPr>
        <w:pStyle w:val="CaptionedFigure"/>
      </w:pPr>
      <w:bookmarkStart w:id="72" w:name="fig:013"/>
      <w:r>
        <w:drawing>
          <wp:inline>
            <wp:extent cx="4940833" cy="2489626"/>
            <wp:effectExtent b="0" l="0" r="0" t="0"/>
            <wp:docPr descr="Рис. 13: Переход на отображение команд с Intel’овским синтаксисом." title="" id="7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</w:t>
      </w:r>
      <w:r>
        <w:t xml:space="preserve"> </w:t>
      </w:r>
      <w:r>
        <w:rPr>
          <w:iCs/>
          <w:i/>
        </w:rPr>
        <w:t xml:space="preserve">Переход на отображение команд с Intel’овским синтаксисом.</w:t>
      </w:r>
    </w:p>
    <w:p>
      <w:pPr>
        <w:pStyle w:val="BodyText"/>
      </w:pPr>
      <w:r>
        <w:t xml:space="preserve">Различия отображения синтаксиса машинных команд в режимах ATT и Intel заключаются в том, что у ATT регистры стоят справа и перед каждым регистром стоит символ %, также перед каждой строкой стоит символ $, у Intel же регистры стоят слева и нет дополнительных символов.</w:t>
      </w:r>
    </w:p>
    <w:p>
      <w:pPr>
        <w:numPr>
          <w:ilvl w:val="0"/>
          <w:numId w:val="1014"/>
        </w:numPr>
        <w:pStyle w:val="Compact"/>
      </w:pPr>
      <w:r>
        <w:t xml:space="preserve">Включим режим псевдографики.</w:t>
      </w:r>
    </w:p>
    <w:p>
      <w:pPr>
        <w:pStyle w:val="CaptionedFigure"/>
      </w:pPr>
      <w:bookmarkStart w:id="76" w:name="fig:014"/>
      <w:r>
        <w:drawing>
          <wp:inline>
            <wp:extent cx="4925465" cy="2704779"/>
            <wp:effectExtent b="0" l="0" r="0" t="0"/>
            <wp:docPr descr="Рис. 14: Режим псевдографики." title="" id="7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270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</w:t>
      </w:r>
      <w:r>
        <w:t xml:space="preserve"> </w:t>
      </w:r>
      <w:r>
        <w:rPr>
          <w:iCs/>
          <w:i/>
        </w:rPr>
        <w:t xml:space="preserve">Режим псевдографики.</w:t>
      </w:r>
    </w:p>
    <w:p>
      <w:pPr>
        <w:numPr>
          <w:ilvl w:val="0"/>
          <w:numId w:val="1015"/>
        </w:numPr>
        <w:pStyle w:val="Compact"/>
      </w:pPr>
      <w:r>
        <w:t xml:space="preserve">Проверим наличие брейкпоинтов.</w:t>
      </w:r>
    </w:p>
    <w:p>
      <w:pPr>
        <w:pStyle w:val="CaptionedFigure"/>
      </w:pPr>
      <w:bookmarkStart w:id="80" w:name="fig:015"/>
      <w:r>
        <w:drawing>
          <wp:inline>
            <wp:extent cx="4963885" cy="560934"/>
            <wp:effectExtent b="0" l="0" r="0" t="0"/>
            <wp:docPr descr="Рис. 15: Проверка брейкпоинтов." title="" id="7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</w:t>
      </w:r>
      <w:r>
        <w:t xml:space="preserve"> </w:t>
      </w:r>
      <w:r>
        <w:rPr>
          <w:iCs/>
          <w:i/>
        </w:rPr>
        <w:t xml:space="preserve">Проверка брейкпоинтов.</w:t>
      </w:r>
    </w:p>
    <w:p>
      <w:pPr>
        <w:numPr>
          <w:ilvl w:val="0"/>
          <w:numId w:val="1016"/>
        </w:numPr>
        <w:pStyle w:val="Compact"/>
      </w:pPr>
      <w:r>
        <w:t xml:space="preserve">Установим еще одну точку останова по адресу инструкции.</w:t>
      </w:r>
    </w:p>
    <w:p>
      <w:pPr>
        <w:pStyle w:val="CaptionedFigure"/>
      </w:pPr>
      <w:bookmarkStart w:id="84" w:name="fig:016"/>
      <w:r>
        <w:drawing>
          <wp:inline>
            <wp:extent cx="4940833" cy="437989"/>
            <wp:effectExtent b="0" l="0" r="0" t="0"/>
            <wp:docPr descr="Рис. 16: Установка точки останова." title="" id="8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</w:t>
      </w:r>
      <w:r>
        <w:t xml:space="preserve"> </w:t>
      </w:r>
      <w:r>
        <w:rPr>
          <w:iCs/>
          <w:i/>
        </w:rPr>
        <w:t xml:space="preserve">Установка точки останова.</w:t>
      </w:r>
    </w:p>
    <w:p>
      <w:pPr>
        <w:numPr>
          <w:ilvl w:val="0"/>
          <w:numId w:val="1017"/>
        </w:numPr>
        <w:pStyle w:val="Compact"/>
      </w:pPr>
      <w:r>
        <w:t xml:space="preserve">Посмотрим информацию о всех установленных точках останова.</w:t>
      </w:r>
    </w:p>
    <w:p>
      <w:pPr>
        <w:pStyle w:val="CaptionedFigure"/>
      </w:pPr>
      <w:bookmarkStart w:id="88" w:name="fig:017"/>
      <w:r>
        <w:drawing>
          <wp:inline>
            <wp:extent cx="4917781" cy="691563"/>
            <wp:effectExtent b="0" l="0" r="0" t="0"/>
            <wp:docPr descr="Рис. 17: Провека точек останова." title="" id="8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</w:t>
      </w:r>
      <w:r>
        <w:t xml:space="preserve"> </w:t>
      </w:r>
      <w:r>
        <w:rPr>
          <w:iCs/>
          <w:i/>
        </w:rPr>
        <w:t xml:space="preserve">Провека точек останова.</w:t>
      </w:r>
    </w:p>
    <w:p>
      <w:pPr>
        <w:numPr>
          <w:ilvl w:val="0"/>
          <w:numId w:val="1018"/>
        </w:numPr>
        <w:pStyle w:val="Compact"/>
      </w:pPr>
      <w:r>
        <w:t xml:space="preserve">Выполним 5 инструкций с помощью команды stepi.</w:t>
      </w:r>
    </w:p>
    <w:p>
      <w:pPr>
        <w:pStyle w:val="CaptionedFigure"/>
      </w:pPr>
      <w:bookmarkStart w:id="92" w:name="fig:018"/>
      <w:r>
        <w:drawing>
          <wp:inline>
            <wp:extent cx="4948517" cy="3350238"/>
            <wp:effectExtent b="0" l="0" r="0" t="0"/>
            <wp:docPr descr="Рис. 18: Значения регистров до команды stepi." title="" id="9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8,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335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</w:t>
      </w:r>
      <w:r>
        <w:t xml:space="preserve"> </w:t>
      </w:r>
      <w:r>
        <w:rPr>
          <w:iCs/>
          <w:i/>
        </w:rPr>
        <w:t xml:space="preserve">Значения регистров до команды stepi.</w:t>
      </w:r>
    </w:p>
    <w:p>
      <w:pPr>
        <w:pStyle w:val="CaptionedFigure"/>
      </w:pPr>
      <w:bookmarkStart w:id="96" w:name="fig:019"/>
      <w:r>
        <w:drawing>
          <wp:inline>
            <wp:extent cx="4910097" cy="3350238"/>
            <wp:effectExtent b="0" l="0" r="0" t="0"/>
            <wp:docPr descr="Рис. 19: Значения регистров после команды stepi." title="" id="9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8,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335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</w:t>
      </w:r>
      <w:r>
        <w:t xml:space="preserve"> </w:t>
      </w:r>
      <w:r>
        <w:rPr>
          <w:iCs/>
          <w:i/>
        </w:rPr>
        <w:t xml:space="preserve">Значения регистров после команды stepi.</w:t>
      </w:r>
    </w:p>
    <w:p>
      <w:pPr>
        <w:pStyle w:val="BodyText"/>
      </w:pPr>
      <w:r>
        <w:t xml:space="preserve">Значение регистра eax изменилось с 0 на 8. Значение регистра ecx изменилось с 0 на 134520832. Значение регистра edx изменилось с 0 на 8. И значение регистра ebx изменилось с 0 на 1.</w:t>
      </w:r>
    </w:p>
    <w:p>
      <w:pPr>
        <w:numPr>
          <w:ilvl w:val="0"/>
          <w:numId w:val="1019"/>
        </w:numPr>
        <w:pStyle w:val="Compact"/>
      </w:pPr>
      <w:r>
        <w:t xml:space="preserve">Посмотрим содержимое регистров с помощью команды info registers.</w:t>
      </w:r>
    </w:p>
    <w:p>
      <w:pPr>
        <w:pStyle w:val="CaptionedFigure"/>
      </w:pPr>
      <w:bookmarkStart w:id="100" w:name="fig:020"/>
      <w:r>
        <w:drawing>
          <wp:inline>
            <wp:extent cx="4956201" cy="1913324"/>
            <wp:effectExtent b="0" l="0" r="0" t="0"/>
            <wp:docPr descr="Рис. 20: Содержимое регистров." title="" id="9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</w:t>
      </w:r>
      <w:r>
        <w:t xml:space="preserve"> </w:t>
      </w:r>
      <w:r>
        <w:rPr>
          <w:iCs/>
          <w:i/>
        </w:rPr>
        <w:t xml:space="preserve">Содержимое регистров.</w:t>
      </w:r>
    </w:p>
    <w:p>
      <w:pPr>
        <w:pStyle w:val="CaptionedFigure"/>
      </w:pPr>
      <w:bookmarkStart w:id="104" w:name="fig:021"/>
      <w:r>
        <w:drawing>
          <wp:inline>
            <wp:extent cx="4948517" cy="1828800"/>
            <wp:effectExtent b="0" l="0" r="0" t="0"/>
            <wp:docPr descr="Рис. 21: Содержимое регистров." title="" id="10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</w:t>
      </w:r>
      <w:r>
        <w:t xml:space="preserve"> </w:t>
      </w:r>
      <w:r>
        <w:rPr>
          <w:iCs/>
          <w:i/>
        </w:rPr>
        <w:t xml:space="preserve">Содержимое регистров.</w:t>
      </w:r>
    </w:p>
    <w:p>
      <w:pPr>
        <w:numPr>
          <w:ilvl w:val="0"/>
          <w:numId w:val="1020"/>
        </w:numPr>
        <w:pStyle w:val="Compact"/>
      </w:pPr>
      <w:r>
        <w:t xml:space="preserve">Посмотрим значение переменной msg1 по имени.</w:t>
      </w:r>
    </w:p>
    <w:p>
      <w:pPr>
        <w:pStyle w:val="CaptionedFigure"/>
      </w:pPr>
      <w:bookmarkStart w:id="108" w:name="fig:022"/>
      <w:r>
        <w:drawing>
          <wp:inline>
            <wp:extent cx="4948517" cy="430305"/>
            <wp:effectExtent b="0" l="0" r="0" t="0"/>
            <wp:docPr descr="Рис. 22: Значение переменной msg1." title="" id="10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</w:t>
      </w:r>
      <w:r>
        <w:t xml:space="preserve"> </w:t>
      </w:r>
      <w:r>
        <w:rPr>
          <w:iCs/>
          <w:i/>
        </w:rPr>
        <w:t xml:space="preserve">Значение переменной msg1.</w:t>
      </w:r>
    </w:p>
    <w:p>
      <w:pPr>
        <w:numPr>
          <w:ilvl w:val="0"/>
          <w:numId w:val="1021"/>
        </w:numPr>
        <w:pStyle w:val="Compact"/>
      </w:pPr>
      <w:r>
        <w:t xml:space="preserve">Посмотрим значение переменной msg2 по адресу.</w:t>
      </w:r>
    </w:p>
    <w:p>
      <w:pPr>
        <w:pStyle w:val="CaptionedFigure"/>
      </w:pPr>
      <w:bookmarkStart w:id="112" w:name="fig:023"/>
      <w:r>
        <w:drawing>
          <wp:inline>
            <wp:extent cx="4956201" cy="422621"/>
            <wp:effectExtent b="0" l="0" r="0" t="0"/>
            <wp:docPr descr="Рис. 23: Значение переменной msg2." title="" id="11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</w:t>
      </w:r>
      <w:r>
        <w:t xml:space="preserve"> </w:t>
      </w:r>
      <w:r>
        <w:rPr>
          <w:iCs/>
          <w:i/>
        </w:rPr>
        <w:t xml:space="preserve">Значение переменной msg2.</w:t>
      </w:r>
    </w:p>
    <w:p>
      <w:pPr>
        <w:numPr>
          <w:ilvl w:val="0"/>
          <w:numId w:val="1022"/>
        </w:numPr>
        <w:pStyle w:val="Compact"/>
      </w:pPr>
      <w:r>
        <w:t xml:space="preserve">Изменим первый символ переменной msg1.</w:t>
      </w:r>
    </w:p>
    <w:p>
      <w:pPr>
        <w:pStyle w:val="CaptionedFigure"/>
      </w:pPr>
      <w:bookmarkStart w:id="116" w:name="fig:024"/>
      <w:r>
        <w:drawing>
          <wp:inline>
            <wp:extent cx="4948517" cy="560934"/>
            <wp:effectExtent b="0" l="0" r="0" t="0"/>
            <wp:docPr descr="Рис. 24: Изменение переменной msg1." title="" id="11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</w:t>
      </w:r>
      <w:r>
        <w:t xml:space="preserve"> </w:t>
      </w:r>
      <w:r>
        <w:rPr>
          <w:iCs/>
          <w:i/>
        </w:rPr>
        <w:t xml:space="preserve">Изменение переменной msg1.</w:t>
      </w:r>
    </w:p>
    <w:p>
      <w:pPr>
        <w:numPr>
          <w:ilvl w:val="0"/>
          <w:numId w:val="1023"/>
        </w:numPr>
        <w:pStyle w:val="Compact"/>
      </w:pPr>
      <w:r>
        <w:t xml:space="preserve">Заменим символ в переменной msg2.</w:t>
      </w:r>
    </w:p>
    <w:p>
      <w:pPr>
        <w:pStyle w:val="CaptionedFigure"/>
      </w:pPr>
      <w:bookmarkStart w:id="120" w:name="fig:025"/>
      <w:r>
        <w:drawing>
          <wp:inline>
            <wp:extent cx="4948517" cy="537882"/>
            <wp:effectExtent b="0" l="0" r="0" t="0"/>
            <wp:docPr descr="Рис. 25: Изменение переменной msg2." title="" id="11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</w:t>
      </w:r>
      <w:r>
        <w:t xml:space="preserve"> </w:t>
      </w:r>
      <w:r>
        <w:rPr>
          <w:iCs/>
          <w:i/>
        </w:rPr>
        <w:t xml:space="preserve">Изменение переменной msg2.</w:t>
      </w:r>
    </w:p>
    <w:p>
      <w:pPr>
        <w:numPr>
          <w:ilvl w:val="0"/>
          <w:numId w:val="1024"/>
        </w:numPr>
        <w:pStyle w:val="Compact"/>
      </w:pPr>
      <w:r>
        <w:t xml:space="preserve">Выведем в различных форматах значение регистра edx.</w:t>
      </w:r>
    </w:p>
    <w:p>
      <w:pPr>
        <w:pStyle w:val="CaptionedFigure"/>
      </w:pPr>
      <w:bookmarkStart w:id="124" w:name="fig:026"/>
      <w:r>
        <w:drawing>
          <wp:inline>
            <wp:extent cx="4933149" cy="975872"/>
            <wp:effectExtent b="0" l="0" r="0" t="0"/>
            <wp:docPr descr="Рис. 26: Значение регистра edx в различных форматах." title="" id="12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</w:t>
      </w:r>
      <w:r>
        <w:t xml:space="preserve"> </w:t>
      </w:r>
      <w:r>
        <w:rPr>
          <w:iCs/>
          <w:i/>
        </w:rPr>
        <w:t xml:space="preserve">Значение регистра edx в различных форматах.</w:t>
      </w:r>
    </w:p>
    <w:p>
      <w:pPr>
        <w:numPr>
          <w:ilvl w:val="0"/>
          <w:numId w:val="1025"/>
        </w:numPr>
        <w:pStyle w:val="Compact"/>
      </w:pPr>
      <w:r>
        <w:t xml:space="preserve">Изменим значение регистра edx с помощью команды set.</w:t>
      </w:r>
    </w:p>
    <w:p>
      <w:pPr>
        <w:pStyle w:val="CaptionedFigure"/>
      </w:pPr>
      <w:bookmarkStart w:id="128" w:name="fig:027"/>
      <w:r>
        <w:drawing>
          <wp:inline>
            <wp:extent cx="4925465" cy="975872"/>
            <wp:effectExtent b="0" l="0" r="0" t="0"/>
            <wp:docPr descr="Рис. 27: Изменение значение регистра edx." title="" id="12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</w:t>
      </w:r>
      <w:r>
        <w:t xml:space="preserve"> </w:t>
      </w:r>
      <w:r>
        <w:rPr>
          <w:iCs/>
          <w:i/>
        </w:rPr>
        <w:t xml:space="preserve">Изменение значение регистра edx.</w:t>
      </w:r>
    </w:p>
    <w:p>
      <w:pPr>
        <w:pStyle w:val="BodyText"/>
      </w:pPr>
      <w:r>
        <w:t xml:space="preserve">Разница вывода команд p/s $ebx заключается в том, что в первом случае мы вносим значение 2, а во втором регистр приравнивается к 2.</w:t>
      </w:r>
    </w:p>
    <w:p>
      <w:pPr>
        <w:numPr>
          <w:ilvl w:val="0"/>
          <w:numId w:val="1026"/>
        </w:numPr>
        <w:pStyle w:val="Compact"/>
      </w:pPr>
      <w:r>
        <w:t xml:space="preserve">Завершим выполнение программы с помощью команды continue.</w:t>
      </w:r>
    </w:p>
    <w:p>
      <w:pPr>
        <w:pStyle w:val="CaptionedFigure"/>
      </w:pPr>
      <w:bookmarkStart w:id="132" w:name="fig:028"/>
      <w:r>
        <w:drawing>
          <wp:inline>
            <wp:extent cx="4940833" cy="1529122"/>
            <wp:effectExtent b="0" l="0" r="0" t="0"/>
            <wp:docPr descr="Рис. 28: Завершение выполнения программы." title="" id="13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5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</w:t>
      </w:r>
      <w:r>
        <w:t xml:space="preserve"> </w:t>
      </w:r>
      <w:r>
        <w:rPr>
          <w:iCs/>
          <w:i/>
        </w:rPr>
        <w:t xml:space="preserve">Завершение выполнения программы.</w:t>
      </w:r>
    </w:p>
    <w:p>
      <w:pPr>
        <w:numPr>
          <w:ilvl w:val="0"/>
          <w:numId w:val="1027"/>
        </w:numPr>
        <w:pStyle w:val="Compact"/>
      </w:pPr>
      <w:r>
        <w:t xml:space="preserve">Скопируем файл lab9-2.asm в каталог lab10 с названием lab10-3.asm.</w:t>
      </w:r>
    </w:p>
    <w:p>
      <w:pPr>
        <w:pStyle w:val="CaptionedFigure"/>
      </w:pPr>
      <w:bookmarkStart w:id="136" w:name="fig:029"/>
      <w:r>
        <w:drawing>
          <wp:inline>
            <wp:extent cx="4940833" cy="1690487"/>
            <wp:effectExtent b="0" l="0" r="0" t="0"/>
            <wp:docPr descr="Рис. 29: Копирование файла lab9-2.asm." title="" id="13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</w:t>
      </w:r>
      <w:r>
        <w:t xml:space="preserve"> </w:t>
      </w:r>
      <w:r>
        <w:rPr>
          <w:iCs/>
          <w:i/>
        </w:rPr>
        <w:t xml:space="preserve">Копирование файла lab9-2.asm.</w:t>
      </w:r>
    </w:p>
    <w:p>
      <w:pPr>
        <w:numPr>
          <w:ilvl w:val="0"/>
          <w:numId w:val="1028"/>
        </w:numPr>
        <w:pStyle w:val="Compact"/>
      </w:pPr>
      <w:r>
        <w:t xml:space="preserve">Создадим исполняемый файл.</w:t>
      </w:r>
    </w:p>
    <w:p>
      <w:pPr>
        <w:pStyle w:val="CaptionedFigure"/>
      </w:pPr>
      <w:bookmarkStart w:id="140" w:name="fig:030"/>
      <w:r>
        <w:drawing>
          <wp:inline>
            <wp:extent cx="4933149" cy="291993"/>
            <wp:effectExtent b="0" l="0" r="0" t="0"/>
            <wp:docPr descr="Рис. 30: Создание исполняемого файла." title="" id="138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</w:t>
      </w:r>
      <w:r>
        <w:t xml:space="preserve"> </w:t>
      </w:r>
      <w:r>
        <w:rPr>
          <w:iCs/>
          <w:i/>
        </w:rPr>
        <w:t xml:space="preserve">Создание исполняемого файла.</w:t>
      </w:r>
    </w:p>
    <w:p>
      <w:pPr>
        <w:numPr>
          <w:ilvl w:val="0"/>
          <w:numId w:val="1029"/>
        </w:numPr>
        <w:pStyle w:val="Compact"/>
      </w:pPr>
      <w:r>
        <w:t xml:space="preserve">Загрузим исполняемый файл в отладчик, указав аргументы.</w:t>
      </w:r>
    </w:p>
    <w:p>
      <w:pPr>
        <w:pStyle w:val="CaptionedFigure"/>
      </w:pPr>
      <w:bookmarkStart w:id="144" w:name="fig:031"/>
      <w:r>
        <w:drawing>
          <wp:inline>
            <wp:extent cx="4933149" cy="2474258"/>
            <wp:effectExtent b="0" l="0" r="0" t="0"/>
            <wp:docPr descr="Рис. 31: Загрузка исполняемого файла в отладчик." title="" id="142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</w:t>
      </w:r>
      <w:r>
        <w:t xml:space="preserve"> </w:t>
      </w:r>
      <w:r>
        <w:rPr>
          <w:iCs/>
          <w:i/>
        </w:rPr>
        <w:t xml:space="preserve">Загрузка исполняемого файла в отладчик.</w:t>
      </w:r>
    </w:p>
    <w:p>
      <w:pPr>
        <w:numPr>
          <w:ilvl w:val="0"/>
          <w:numId w:val="1030"/>
        </w:numPr>
        <w:pStyle w:val="Compact"/>
      </w:pPr>
      <w:r>
        <w:t xml:space="preserve">Установим точку останова перед первой инструкцией в программе и запустим ее.</w:t>
      </w:r>
    </w:p>
    <w:p>
      <w:pPr>
        <w:pStyle w:val="CaptionedFigure"/>
      </w:pPr>
      <w:bookmarkStart w:id="148" w:name="fig:032"/>
      <w:r>
        <w:drawing>
          <wp:inline>
            <wp:extent cx="4948517" cy="1536806"/>
            <wp:effectExtent b="0" l="0" r="0" t="0"/>
            <wp:docPr descr="Рис. 32: Установка точки останова." title="" id="146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</w:t>
      </w:r>
      <w:r>
        <w:t xml:space="preserve"> </w:t>
      </w:r>
      <w:r>
        <w:rPr>
          <w:iCs/>
          <w:i/>
        </w:rPr>
        <w:t xml:space="preserve">Установка точки останова.</w:t>
      </w:r>
    </w:p>
    <w:p>
      <w:pPr>
        <w:numPr>
          <w:ilvl w:val="0"/>
          <w:numId w:val="1031"/>
        </w:numPr>
        <w:pStyle w:val="Compact"/>
      </w:pPr>
      <w:r>
        <w:t xml:space="preserve">Посмотрим число аргументов командной строки.</w:t>
      </w:r>
    </w:p>
    <w:p>
      <w:pPr>
        <w:pStyle w:val="CaptionedFigure"/>
      </w:pPr>
      <w:bookmarkStart w:id="152" w:name="fig:033"/>
      <w:r>
        <w:drawing>
          <wp:inline>
            <wp:extent cx="4933149" cy="422621"/>
            <wp:effectExtent b="0" l="0" r="0" t="0"/>
            <wp:docPr descr="Рис. 33: Число аргументов командной строки." title="" id="150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</w:t>
      </w:r>
      <w:r>
        <w:t xml:space="preserve"> </w:t>
      </w:r>
      <w:r>
        <w:rPr>
          <w:iCs/>
          <w:i/>
        </w:rPr>
        <w:t xml:space="preserve">Число аргументов командной строки.</w:t>
      </w:r>
    </w:p>
    <w:p>
      <w:pPr>
        <w:numPr>
          <w:ilvl w:val="0"/>
          <w:numId w:val="1032"/>
        </w:numPr>
        <w:pStyle w:val="Compact"/>
      </w:pPr>
      <w:r>
        <w:t xml:space="preserve">Посмотрим остальные позиции стека.</w:t>
      </w:r>
    </w:p>
    <w:p>
      <w:pPr>
        <w:pStyle w:val="CaptionedFigure"/>
      </w:pPr>
      <w:bookmarkStart w:id="156" w:name="fig:034"/>
      <w:r>
        <w:drawing>
          <wp:inline>
            <wp:extent cx="4917781" cy="1798063"/>
            <wp:effectExtent b="0" l="0" r="0" t="0"/>
            <wp:docPr descr="Рис. 34: Позиции стека." title="" id="154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</w:t>
      </w:r>
      <w:r>
        <w:t xml:space="preserve"> </w:t>
      </w:r>
      <w:r>
        <w:rPr>
          <w:iCs/>
          <w:i/>
        </w:rPr>
        <w:t xml:space="preserve">Позиции стека.</w:t>
      </w:r>
    </w:p>
    <w:p>
      <w:pPr>
        <w:pStyle w:val="BodyText"/>
      </w:pPr>
      <w:r>
        <w:t xml:space="preserve">Шаг изменения адреса равен 4, потому что стек может хранить до 4 байт.</w:t>
      </w:r>
    </w:p>
    <w:bookmarkEnd w:id="157"/>
    <w:bookmarkStart w:id="218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33"/>
        </w:numPr>
        <w:pStyle w:val="Compact"/>
      </w:pPr>
      <w:r>
        <w:t xml:space="preserve">Перенесем файл lab9.asm в каталог lab10.</w:t>
      </w:r>
    </w:p>
    <w:p>
      <w:pPr>
        <w:pStyle w:val="CaptionedFigure"/>
      </w:pPr>
      <w:bookmarkStart w:id="161" w:name="fig:035"/>
      <w:r>
        <w:drawing>
          <wp:inline>
            <wp:extent cx="4925465" cy="722299"/>
            <wp:effectExtent b="0" l="0" r="0" t="0"/>
            <wp:docPr descr="Рис. 35: Копирование файла lab9.asm в каталог lab10.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</w:t>
      </w:r>
      <w:r>
        <w:t xml:space="preserve"> </w:t>
      </w:r>
      <w:r>
        <w:rPr>
          <w:iCs/>
          <w:i/>
        </w:rPr>
        <w:t xml:space="preserve">Копирование файла lab9.asm в каталог lab10.</w:t>
      </w:r>
    </w:p>
    <w:p>
      <w:pPr>
        <w:numPr>
          <w:ilvl w:val="0"/>
          <w:numId w:val="1034"/>
        </w:numPr>
        <w:pStyle w:val="Compact"/>
      </w:pPr>
      <w:r>
        <w:t xml:space="preserve">Преобразуем программу из лабораторной работы №9, реализовав вычисление значения функции f(x), как подпрограмму.</w:t>
      </w:r>
    </w:p>
    <w:p>
      <w:pPr>
        <w:pStyle w:val="CaptionedFigure"/>
      </w:pPr>
      <w:bookmarkStart w:id="165" w:name="fig:036"/>
      <w:r>
        <w:drawing>
          <wp:inline>
            <wp:extent cx="5334000" cy="4598275"/>
            <wp:effectExtent b="0" l="0" r="0" t="0"/>
            <wp:docPr descr="Рис. 36: Измененный текст программы в файле lab9.asm.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36:</w:t>
      </w:r>
      <w:r>
        <w:t xml:space="preserve"> </w:t>
      </w:r>
      <w:r>
        <w:rPr>
          <w:iCs/>
          <w:i/>
        </w:rPr>
        <w:t xml:space="preserve">Измененный текст программы в файле lab9.asm.</w:t>
      </w:r>
    </w:p>
    <w:p>
      <w:pPr>
        <w:numPr>
          <w:ilvl w:val="0"/>
          <w:numId w:val="1035"/>
        </w:numPr>
        <w:pStyle w:val="Compact"/>
      </w:pPr>
      <w:r>
        <w:t xml:space="preserve">Создадим исполняемый файл и проверим его работу.</w:t>
      </w:r>
    </w:p>
    <w:p>
      <w:pPr>
        <w:pStyle w:val="CaptionedFigure"/>
      </w:pPr>
      <w:bookmarkStart w:id="169" w:name="fig:037"/>
      <w:r>
        <w:drawing>
          <wp:inline>
            <wp:extent cx="4894729" cy="699247"/>
            <wp:effectExtent b="0" l="0" r="0" t="0"/>
            <wp:docPr descr="Рис. 37: Создание исполняемого файла и его запуск." title="" id="167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Рис. 37: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p>
      <w:pPr>
        <w:numPr>
          <w:ilvl w:val="0"/>
          <w:numId w:val="1036"/>
        </w:numPr>
        <w:pStyle w:val="Compact"/>
      </w:pPr>
      <w:r>
        <w:t xml:space="preserve">Создадим текстовый файл lab10.asm.</w:t>
      </w:r>
    </w:p>
    <w:p>
      <w:pPr>
        <w:pStyle w:val="CaptionedFigure"/>
      </w:pPr>
      <w:bookmarkStart w:id="173" w:name="fig:038"/>
      <w:r>
        <w:drawing>
          <wp:inline>
            <wp:extent cx="4902413" cy="145996"/>
            <wp:effectExtent b="0" l="0" r="0" t="0"/>
            <wp:docPr descr="Рис. 38: Создание текстового файла lab10.asm." title="" id="171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Рис. 38:</w:t>
      </w:r>
      <w:r>
        <w:t xml:space="preserve"> </w:t>
      </w:r>
      <w:r>
        <w:rPr>
          <w:iCs/>
          <w:i/>
        </w:rPr>
        <w:t xml:space="preserve">Создание текстового файла lab10.asm.</w:t>
      </w:r>
    </w:p>
    <w:p>
      <w:pPr>
        <w:numPr>
          <w:ilvl w:val="0"/>
          <w:numId w:val="1037"/>
        </w:numPr>
        <w:pStyle w:val="Compact"/>
      </w:pPr>
      <w:r>
        <w:t xml:space="preserve">Запишем программу вычисления выражения (3 + 2) * 4 + 5.</w:t>
      </w:r>
    </w:p>
    <w:p>
      <w:pPr>
        <w:pStyle w:val="CaptionedFigure"/>
      </w:pPr>
      <w:bookmarkStart w:id="177" w:name="fig:039"/>
      <w:r>
        <w:drawing>
          <wp:inline>
            <wp:extent cx="5334000" cy="2586350"/>
            <wp:effectExtent b="0" l="0" r="0" t="0"/>
            <wp:docPr descr="Рис. 39: Текст программы в файле lab10.asm." title="" id="175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8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39:</w:t>
      </w:r>
      <w:r>
        <w:t xml:space="preserve"> </w:t>
      </w:r>
      <w:r>
        <w:rPr>
          <w:iCs/>
          <w:i/>
        </w:rPr>
        <w:t xml:space="preserve">Текст программы в файле lab10.asm.</w:t>
      </w:r>
    </w:p>
    <w:p>
      <w:pPr>
        <w:numPr>
          <w:ilvl w:val="0"/>
          <w:numId w:val="1038"/>
        </w:numPr>
        <w:pStyle w:val="Compact"/>
      </w:pPr>
      <w:r>
        <w:t xml:space="preserve">Создадим исполняемый файл и проверим его работу. Как и ожидалось, программа выдает неверный результат.</w:t>
      </w:r>
    </w:p>
    <w:p>
      <w:pPr>
        <w:pStyle w:val="CaptionedFigure"/>
      </w:pPr>
      <w:bookmarkStart w:id="181" w:name="fig:040"/>
      <w:r>
        <w:drawing>
          <wp:inline>
            <wp:extent cx="4933149" cy="553250"/>
            <wp:effectExtent b="0" l="0" r="0" t="0"/>
            <wp:docPr descr="Рис. 40: Создание исполняемого файла и его запуск." title="" id="179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39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Рис. 40: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p>
      <w:pPr>
        <w:numPr>
          <w:ilvl w:val="0"/>
          <w:numId w:val="1039"/>
        </w:numPr>
        <w:pStyle w:val="Compact"/>
      </w:pPr>
      <w:r>
        <w:t xml:space="preserve">Используем отладчик для определения ошибки.</w:t>
      </w:r>
    </w:p>
    <w:p>
      <w:pPr>
        <w:pStyle w:val="CaptionedFigure"/>
      </w:pPr>
      <w:bookmarkStart w:id="185" w:name="fig:041"/>
      <w:r>
        <w:drawing>
          <wp:inline>
            <wp:extent cx="5334000" cy="4041621"/>
            <wp:effectExtent b="0" l="0" r="0" t="0"/>
            <wp:docPr descr="Рис. 41: Использование отладчика." title="" id="183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0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Рис. 41:</w:t>
      </w:r>
      <w:r>
        <w:t xml:space="preserve"> </w:t>
      </w:r>
      <w:r>
        <w:rPr>
          <w:iCs/>
          <w:i/>
        </w:rPr>
        <w:t xml:space="preserve">Использование отладчика.</w:t>
      </w:r>
    </w:p>
    <w:p>
      <w:pPr>
        <w:pStyle w:val="CaptionedFigure"/>
      </w:pPr>
      <w:bookmarkStart w:id="189" w:name="fig:042"/>
      <w:r>
        <w:drawing>
          <wp:inline>
            <wp:extent cx="5334000" cy="3280204"/>
            <wp:effectExtent b="0" l="0" r="0" t="0"/>
            <wp:docPr descr="Рис. 42: Использование отладчика." title="" id="187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1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0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Рис. 42:</w:t>
      </w:r>
      <w:r>
        <w:t xml:space="preserve"> </w:t>
      </w:r>
      <w:r>
        <w:rPr>
          <w:iCs/>
          <w:i/>
        </w:rPr>
        <w:t xml:space="preserve">Использование отладчика.</w:t>
      </w:r>
    </w:p>
    <w:p>
      <w:pPr>
        <w:pStyle w:val="CaptionedFigure"/>
      </w:pPr>
      <w:bookmarkStart w:id="193" w:name="fig:043"/>
      <w:r>
        <w:drawing>
          <wp:inline>
            <wp:extent cx="5334000" cy="4039849"/>
            <wp:effectExtent b="0" l="0" r="0" t="0"/>
            <wp:docPr descr="Рис. 43: Использование отладчика." title="" id="191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2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Рис. 43:</w:t>
      </w:r>
      <w:r>
        <w:t xml:space="preserve"> </w:t>
      </w:r>
      <w:r>
        <w:rPr>
          <w:iCs/>
          <w:i/>
        </w:rPr>
        <w:t xml:space="preserve">Использование отладчика.</w:t>
      </w:r>
    </w:p>
    <w:p>
      <w:pPr>
        <w:numPr>
          <w:ilvl w:val="0"/>
          <w:numId w:val="1040"/>
        </w:numPr>
        <w:pStyle w:val="Compact"/>
      </w:pPr>
      <w:r>
        <w:t xml:space="preserve">Пошагово проверим каждое действие и проследим изменения регистров.</w:t>
      </w:r>
    </w:p>
    <w:p>
      <w:pPr>
        <w:pStyle w:val="CaptionedFigure"/>
      </w:pPr>
      <w:bookmarkStart w:id="197" w:name="fig:044"/>
      <w:r>
        <w:drawing>
          <wp:inline>
            <wp:extent cx="5334000" cy="4209819"/>
            <wp:effectExtent b="0" l="0" r="0" t="0"/>
            <wp:docPr descr="Рис. 44: Первые две инструкции." title="" id="195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3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44:</w:t>
      </w:r>
      <w:r>
        <w:t xml:space="preserve"> </w:t>
      </w:r>
      <w:r>
        <w:rPr>
          <w:iCs/>
          <w:i/>
        </w:rPr>
        <w:t xml:space="preserve">Первые две инструкции.</w:t>
      </w:r>
    </w:p>
    <w:p>
      <w:pPr>
        <w:pStyle w:val="BodyText"/>
      </w:pPr>
      <w:bookmarkStart w:id="201" w:name="fig:045"/>
      <w:r>
        <w:drawing>
          <wp:inline>
            <wp:extent cx="5334000" cy="4282389"/>
            <wp:effectExtent b="0" l="0" r="0" t="0"/>
            <wp:docPr descr="Третья инструкция." title="" id="199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4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  <w:r>
        <w:t xml:space="preserve">44</w:t>
      </w:r>
    </w:p>
    <w:p>
      <w:pPr>
        <w:pStyle w:val="BodyText"/>
      </w:pPr>
      <w:r>
        <w:t xml:space="preserve">Из-за того, что при сложении не соблюден необходимый порядок регистров, результат сложения записывается в регистр ebx.</w:t>
      </w:r>
    </w:p>
    <w:p>
      <w:pPr>
        <w:pStyle w:val="BodyText"/>
      </w:pPr>
      <w:bookmarkStart w:id="205" w:name="fig:046"/>
      <w:r>
        <w:drawing>
          <wp:inline>
            <wp:extent cx="5334000" cy="4403312"/>
            <wp:effectExtent b="0" l="0" r="0" t="0"/>
            <wp:docPr descr="Четвертая и пятая инструкции." title="" id="203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5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  <w:r>
        <w:t xml:space="preserve">45</w:t>
      </w:r>
    </w:p>
    <w:p>
      <w:pPr>
        <w:pStyle w:val="BodyText"/>
      </w:pPr>
      <w:r>
        <w:t xml:space="preserve">Поскольку результат сложения записан не в eax, умножение выполняется неверно.</w:t>
      </w:r>
    </w:p>
    <w:p>
      <w:pPr>
        <w:pStyle w:val="BodyText"/>
      </w:pPr>
      <w:bookmarkStart w:id="209" w:name="fig:047"/>
      <w:r>
        <w:drawing>
          <wp:inline>
            <wp:extent cx="5334000" cy="4496381"/>
            <wp:effectExtent b="0" l="0" r="0" t="0"/>
            <wp:docPr descr="Шестая инструкция." title="" id="207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6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  <w:r>
        <w:t xml:space="preserve">46</w:t>
      </w:r>
    </w:p>
    <w:p>
      <w:pPr>
        <w:pStyle w:val="BodyText"/>
      </w:pPr>
      <w:r>
        <w:t xml:space="preserve">Из-за того, что умножение выполнено неверно, прибавление 5 к регистру ebx выдает не тот ответ, который должен быть.</w:t>
      </w:r>
    </w:p>
    <w:p>
      <w:pPr>
        <w:numPr>
          <w:ilvl w:val="0"/>
          <w:numId w:val="1041"/>
        </w:numPr>
        <w:pStyle w:val="Compact"/>
      </w:pPr>
      <w:r>
        <w:t xml:space="preserve">Исправим ошибки в тексте программы.</w:t>
      </w:r>
    </w:p>
    <w:p>
      <w:pPr>
        <w:pStyle w:val="CaptionedFigure"/>
      </w:pPr>
      <w:bookmarkStart w:id="213" w:name="fig:048"/>
      <w:r>
        <w:drawing>
          <wp:inline>
            <wp:extent cx="5334000" cy="2602633"/>
            <wp:effectExtent b="0" l="0" r="0" t="0"/>
            <wp:docPr descr="Рис. 45: Измененный текст программы в файле." title="" id="211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7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Рис. 45:</w:t>
      </w:r>
      <w:r>
        <w:t xml:space="preserve"> </w:t>
      </w:r>
      <w:r>
        <w:rPr>
          <w:iCs/>
          <w:i/>
        </w:rPr>
        <w:t xml:space="preserve">Измененный текст программы в файле.</w:t>
      </w:r>
    </w:p>
    <w:p>
      <w:pPr>
        <w:numPr>
          <w:ilvl w:val="0"/>
          <w:numId w:val="1042"/>
        </w:numPr>
        <w:pStyle w:val="Compact"/>
      </w:pPr>
      <w:r>
        <w:t xml:space="preserve">Создадим исполняемый файл и проверим его работу. После изменений программа начала работать исправно.</w:t>
      </w:r>
    </w:p>
    <w:p>
      <w:pPr>
        <w:pStyle w:val="CaptionedFigure"/>
      </w:pPr>
      <w:bookmarkStart w:id="217" w:name="fig:049"/>
      <w:r>
        <w:drawing>
          <wp:inline>
            <wp:extent cx="5334000" cy="732117"/>
            <wp:effectExtent b="0" l="0" r="0" t="0"/>
            <wp:docPr descr="Рис. 46: Создание исполняемого файла и его запуск." title="" id="215" name="Picture"/>
            <a:graphic>
              <a:graphicData uri="http://schemas.openxmlformats.org/drawingml/2006/picture">
                <pic:pic>
                  <pic:nvPicPr>
                    <pic:cNvPr descr="/home/pilobanova/work/study/2022-2023/Архитектура%20компьютера/arch-pc/labs/lab10/report/image/лаб10/48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Рис. 46:</w:t>
      </w:r>
      <w:r>
        <w:t xml:space="preserve"> </w:t>
      </w:r>
      <w:r>
        <w:rPr>
          <w:iCs/>
          <w:i/>
        </w:rPr>
        <w:t xml:space="preserve">Создание исполняемого файла и его запуск.</w:t>
      </w:r>
    </w:p>
    <w:bookmarkEnd w:id="218"/>
    <w:bookmarkStart w:id="21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научилась писать программы с использованием подпрограмм, а также ознакомилась с методами отладки и при помощи GDB и его основными возможностями.</w:t>
      </w:r>
    </w:p>
    <w:bookmarkEnd w:id="2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29" Target="media/rId29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33" Target="media/rId33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Лобанова Полина Иннокентьевна</dc:creator>
  <dc:language>ru-RU</dc:language>
  <cp:keywords/>
  <dcterms:created xsi:type="dcterms:W3CDTF">2022-12-15T21:32:01Z</dcterms:created>
  <dcterms:modified xsi:type="dcterms:W3CDTF">2022-12-15T21:32:01Z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Дисциплина: Архитектура компьютеров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