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GPSS-модели две стратегии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 пограничного контроля имеет равномерное распределение на интервале [a, b]. Предлагается две стратегии обслуживания прибывающих автомобилей:</w:t>
      </w:r>
    </w:p>
    <w:p>
      <w:pPr>
        <w:numPr>
          <w:ilvl w:val="0"/>
          <w:numId w:val="1001"/>
        </w:numPr>
      </w:pPr>
      <w:r>
        <w:t xml:space="preserve">автомобили образуют две очереди и обслуживаются соответствующими пунктами пропуска;</w:t>
      </w:r>
    </w:p>
    <w:p>
      <w:pPr>
        <w:numPr>
          <w:ilvl w:val="0"/>
          <w:numId w:val="1001"/>
        </w:numPr>
      </w:pPr>
      <w:r>
        <w:t xml:space="preserve">автомобили образуют одну общую очередь и обслуживаются освободившимся пунктом пропуска.</w:t>
      </w:r>
    </w:p>
    <w:p>
      <w:pPr>
        <w:pStyle w:val="FirstParagraph"/>
      </w:pPr>
      <w:r>
        <w:t xml:space="preserve">Исходные данные: µ = 1, 75 мин, a = 1 мин, b = 7 мин.</w:t>
      </w:r>
    </w:p>
    <w:p>
      <w:pPr>
        <w:pStyle w:val="BodyText"/>
      </w:pPr>
      <w:r>
        <w:t xml:space="preserve">– составить модель для второй стратегии обслуживания, когда прибывающие автомобили образуют одну очередь и обслуживаются освободившимся пропускным пунктом;</w:t>
      </w:r>
    </w:p>
    <w:p>
      <w:pPr>
        <w:pStyle w:val="BodyText"/>
      </w:pPr>
      <w:r>
        <w:t xml:space="preserve">– свести полученные статистики моделирования в таблицу 16.1.</w:t>
      </w:r>
    </w:p>
    <w:p>
      <w:pPr>
        <w:pStyle w:val="BodyText"/>
      </w:pPr>
      <w:r>
        <w:t xml:space="preserve">– по результатам моделирования сделать вывод о наилучшей стратегии обслуживания автомобилей;</w:t>
      </w:r>
    </w:p>
    <w:p>
      <w:pPr>
        <w:pStyle w:val="BodyText"/>
      </w:pPr>
      <w:r>
        <w:t xml:space="preserve">– изменив модели, определить оптимальное число пропускных пунктов (от 1 до 4) для каждой стратегии при условии, что:</w:t>
      </w:r>
    </w:p>
    <w:p>
      <w:pPr>
        <w:pStyle w:val="SourceCode"/>
      </w:pPr>
      <w:r>
        <w:rPr>
          <w:rStyle w:val="VerbatimChar"/>
        </w:rPr>
        <w:t xml:space="preserve">– коэффициент загрузки пропускных пунктов принадлежит интервалу [0, 5; 0, 95];</w:t>
      </w:r>
      <w:r>
        <w:br/>
      </w:r>
      <w:r>
        <w:br/>
      </w:r>
      <w:r>
        <w:rPr>
          <w:rStyle w:val="VerbatimChar"/>
        </w:rPr>
        <w:t xml:space="preserve">– среднее число автомобилей, одновременно находящихся на контрольно-пропускном пункте, не должно превышать 3;</w:t>
      </w:r>
      <w:r>
        <w:br/>
      </w:r>
      <w:r>
        <w:br/>
      </w:r>
      <w:r>
        <w:rPr>
          <w:rStyle w:val="VerbatimChar"/>
        </w:rPr>
        <w:t xml:space="preserve">– среднее время ожидания обслуживания не должно превышать 4 мин.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Построила модель для первой стратегии обслуживания, когда прибывающие автомобили образуют две очереди и обслуживаются соответствующими пропускными пунктами.</w:t>
      </w:r>
    </w:p>
    <w:p>
      <w:pPr>
        <w:pStyle w:val="CaptionedFigure"/>
      </w:pPr>
      <w:bookmarkStart w:id="25" w:name="fig:001"/>
      <w:r>
        <w:drawing>
          <wp:inline>
            <wp:extent cx="5334000" cy="3170971"/>
            <wp:effectExtent b="0" l="0" r="0" t="0"/>
            <wp:docPr descr="Модель для первой стратегии с 2 пропускными пунктами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Модель для первой стратегии с 2 пропускными пунктами</w:t>
      </w:r>
    </w:p>
    <w:p>
      <w:pPr>
        <w:pStyle w:val="CaptionedFigure"/>
      </w:pPr>
      <w:bookmarkStart w:id="29" w:name="fig:002"/>
      <w:r>
        <w:drawing>
          <wp:inline>
            <wp:extent cx="5334000" cy="4578047"/>
            <wp:effectExtent b="0" l="0" r="0" t="0"/>
            <wp:docPr descr="Отчет по модели для первой стратегии с 2 пропускными пунктами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Отчет по модели для первой стратегии с 2 пропускными пунктами</w:t>
      </w:r>
    </w:p>
    <w:p>
      <w:pPr>
        <w:numPr>
          <w:ilvl w:val="0"/>
          <w:numId w:val="1003"/>
        </w:numPr>
        <w:pStyle w:val="Compact"/>
      </w:pPr>
      <w:r>
        <w:t xml:space="preserve">Построила модель для второй стратегии обслуживания, когда прибывающие автомобили образуют одну очередь и обслуживаются освободившимся пропускным пунктом.</w:t>
      </w:r>
    </w:p>
    <w:p>
      <w:pPr>
        <w:pStyle w:val="CaptionedFigure"/>
      </w:pPr>
      <w:bookmarkStart w:id="33" w:name="fig:003"/>
      <w:r>
        <w:drawing>
          <wp:inline>
            <wp:extent cx="5334000" cy="1859153"/>
            <wp:effectExtent b="0" l="0" r="0" t="0"/>
            <wp:docPr descr="Модель для второй стратегии с 2 пропускными пунктами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Модель для второй стратегии с 2 пропускными пунктами</w:t>
      </w:r>
    </w:p>
    <w:p>
      <w:pPr>
        <w:pStyle w:val="CaptionedFigure"/>
      </w:pPr>
      <w:bookmarkStart w:id="37" w:name="fig:004"/>
      <w:r>
        <w:drawing>
          <wp:inline>
            <wp:extent cx="5286615" cy="5363455"/>
            <wp:effectExtent b="0" l="0" r="0" t="0"/>
            <wp:docPr descr="Отчет по модели для второй стратегии с 2 пропускными пунктами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536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Отчет по модели для второй стратегии с 2 пропускными пунктами</w:t>
      </w:r>
    </w:p>
    <w:p>
      <w:pPr>
        <w:numPr>
          <w:ilvl w:val="0"/>
          <w:numId w:val="1004"/>
        </w:numPr>
        <w:pStyle w:val="Compact"/>
      </w:pPr>
      <w:r>
        <w:t xml:space="preserve">Сравнила две стратегии обслуживания, используя следующие критерии:</w:t>
      </w:r>
    </w:p>
    <w:p>
      <w:pPr>
        <w:pStyle w:val="FirstParagraph"/>
      </w:pPr>
      <w:r>
        <w:t xml:space="preserve">– коэффициенты загрузки системы;</w:t>
      </w:r>
    </w:p>
    <w:p>
      <w:pPr>
        <w:pStyle w:val="BodyText"/>
      </w:pPr>
      <w:r>
        <w:t xml:space="preserve">– максимальные и средние длины очередей;</w:t>
      </w:r>
    </w:p>
    <w:p>
      <w:pPr>
        <w:pStyle w:val="BodyText"/>
      </w:pPr>
      <w:r>
        <w:t xml:space="preserve">– средние значения времени ожидания обслуживания.</w:t>
      </w:r>
    </w:p>
    <w:p>
      <w:pPr>
        <w:pStyle w:val="CaptionedFigure"/>
      </w:pPr>
      <w:bookmarkStart w:id="41" w:name="fig:000"/>
      <w:r>
        <w:drawing>
          <wp:inline>
            <wp:extent cx="4510527" cy="1506070"/>
            <wp:effectExtent b="0" l="0" r="0" t="0"/>
            <wp:docPr descr="Сравнение стратегий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Сравнение стратегий</w:t>
      </w:r>
    </w:p>
    <w:p>
      <w:pPr>
        <w:numPr>
          <w:ilvl w:val="0"/>
          <w:numId w:val="1005"/>
        </w:numPr>
        <w:pStyle w:val="Compact"/>
      </w:pPr>
      <w:r>
        <w:t xml:space="preserve">Построила модель для первой стратегии обслуживания при 1 пропускном пункте (она совпадает со второй).</w:t>
      </w:r>
    </w:p>
    <w:p>
      <w:pPr>
        <w:pStyle w:val="CaptionedFigure"/>
      </w:pPr>
      <w:bookmarkStart w:id="45" w:name="fig:005"/>
      <w:r>
        <w:drawing>
          <wp:inline>
            <wp:extent cx="5334000" cy="1790128"/>
            <wp:effectExtent b="0" l="0" r="0" t="0"/>
            <wp:docPr descr="Модель для обеих стратегий с 1 пропускным пунктом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Модель для обеих стратегий с 1 пропускным пунктом</w:t>
      </w:r>
    </w:p>
    <w:p>
      <w:pPr>
        <w:pStyle w:val="CaptionedFigure"/>
      </w:pPr>
      <w:bookmarkStart w:id="49" w:name="fig:006"/>
      <w:r>
        <w:drawing>
          <wp:inline>
            <wp:extent cx="5278931" cy="5163670"/>
            <wp:effectExtent b="0" l="0" r="0" t="0"/>
            <wp:docPr descr="Отчет по модели для обеих стратегий с 1 пропускным пунктом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516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Отчет по модели для обеих стратегий с 1 пропускным пунктом</w:t>
      </w:r>
    </w:p>
    <w:p>
      <w:pPr>
        <w:numPr>
          <w:ilvl w:val="0"/>
          <w:numId w:val="1006"/>
        </w:numPr>
        <w:pStyle w:val="Compact"/>
      </w:pPr>
      <w:r>
        <w:t xml:space="preserve">Построила модель для первой стратегии обслуживания при 3 пропускных пунктах.</w:t>
      </w:r>
    </w:p>
    <w:p>
      <w:pPr>
        <w:pStyle w:val="CaptionedFigure"/>
      </w:pPr>
      <w:bookmarkStart w:id="53" w:name="fig:007"/>
      <w:r>
        <w:drawing>
          <wp:inline>
            <wp:extent cx="5334000" cy="4106449"/>
            <wp:effectExtent b="0" l="0" r="0" t="0"/>
            <wp:docPr descr="Модель для первой стратегии с 3 пропускными пунктами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Модель для первой стратегии с 3 пропускными пунктами</w:t>
      </w:r>
    </w:p>
    <w:p>
      <w:pPr>
        <w:pStyle w:val="CaptionedFigure"/>
      </w:pPr>
      <w:bookmarkStart w:id="57" w:name="fig:008"/>
      <w:r>
        <w:drawing>
          <wp:inline>
            <wp:extent cx="5048410" cy="6170278"/>
            <wp:effectExtent b="0" l="0" r="0" t="0"/>
            <wp:docPr descr="Отчет по модели для первой стратегии с 3 пропускными пунктами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617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Отчет по модели для первой стратегии с 3 пропускными пунктами</w:t>
      </w:r>
    </w:p>
    <w:p>
      <w:pPr>
        <w:numPr>
          <w:ilvl w:val="0"/>
          <w:numId w:val="1007"/>
        </w:numPr>
        <w:pStyle w:val="Compact"/>
      </w:pPr>
      <w:r>
        <w:t xml:space="preserve">Построила модель для первой стратегии обслуживания при 4 пропускных пунктах.</w:t>
      </w:r>
    </w:p>
    <w:p>
      <w:pPr>
        <w:pStyle w:val="CaptionedFigure"/>
      </w:pPr>
      <w:bookmarkStart w:id="61" w:name="fig:009"/>
      <w:r>
        <w:drawing>
          <wp:inline>
            <wp:extent cx="5334000" cy="4883239"/>
            <wp:effectExtent b="0" l="0" r="0" t="0"/>
            <wp:docPr descr="Модель для первой стратегии с 4 пропускными пунктами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Модель для первой стратегии с 4 пропускными пунктами</w:t>
      </w:r>
    </w:p>
    <w:p>
      <w:pPr>
        <w:pStyle w:val="CaptionedFigure"/>
      </w:pPr>
      <w:bookmarkStart w:id="65" w:name="fig:010"/>
      <w:r>
        <w:drawing>
          <wp:inline>
            <wp:extent cx="5334000" cy="5442561"/>
            <wp:effectExtent b="0" l="0" r="0" t="0"/>
            <wp:docPr descr="Отчет по модели для первой стратегии с 4 пропускными пунктами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Отчет по модели для первой стратегии с 4 пропускными пунктами</w:t>
      </w:r>
    </w:p>
    <w:p>
      <w:pPr>
        <w:numPr>
          <w:ilvl w:val="0"/>
          <w:numId w:val="1008"/>
        </w:numPr>
        <w:pStyle w:val="Compact"/>
      </w:pPr>
      <w:r>
        <w:t xml:space="preserve">Построила модель для второй стратегии обслуживания при 3 пропускных пунктах.</w:t>
      </w:r>
    </w:p>
    <w:p>
      <w:pPr>
        <w:pStyle w:val="CaptionedFigure"/>
      </w:pPr>
      <w:bookmarkStart w:id="69" w:name="fig:011"/>
      <w:r>
        <w:drawing>
          <wp:inline>
            <wp:extent cx="3811280" cy="1967112"/>
            <wp:effectExtent b="0" l="0" r="0" t="0"/>
            <wp:docPr descr="Модель для второй стратегии с 3 пропускными пунктами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80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Модель для второй стратегии с 3 пропускными пунктами</w:t>
      </w:r>
    </w:p>
    <w:p>
      <w:pPr>
        <w:pStyle w:val="CaptionedFigure"/>
      </w:pPr>
      <w:bookmarkStart w:id="73" w:name="fig:012"/>
      <w:r>
        <w:drawing>
          <wp:inline>
            <wp:extent cx="5334000" cy="4849662"/>
            <wp:effectExtent b="0" l="0" r="0" t="0"/>
            <wp:docPr descr="Отчет по модели для второй стратегии с 3 пропускными пунктами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Отчет по модели для второй стратегии с 3 пропускными пунктами</w:t>
      </w:r>
    </w:p>
    <w:p>
      <w:pPr>
        <w:numPr>
          <w:ilvl w:val="0"/>
          <w:numId w:val="1009"/>
        </w:numPr>
        <w:pStyle w:val="Compact"/>
      </w:pPr>
      <w:r>
        <w:t xml:space="preserve">Построила модель для второй стратегии обслуживания при 4 пропускных пунктах.</w:t>
      </w:r>
    </w:p>
    <w:p>
      <w:pPr>
        <w:pStyle w:val="CaptionedFigure"/>
      </w:pPr>
      <w:bookmarkStart w:id="77" w:name="fig:013"/>
      <w:r>
        <w:drawing>
          <wp:inline>
            <wp:extent cx="5334000" cy="1890346"/>
            <wp:effectExtent b="0" l="0" r="0" t="0"/>
            <wp:docPr descr="Модель для второй стратегии с 4 пропускными пунктами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Модель для второй стратегии с 4 пропускными пунктами</w:t>
      </w:r>
    </w:p>
    <w:p>
      <w:pPr>
        <w:pStyle w:val="CaptionedFigure"/>
      </w:pPr>
      <w:bookmarkStart w:id="81" w:name="fig:014"/>
      <w:r>
        <w:drawing>
          <wp:inline>
            <wp:extent cx="5048410" cy="5586292"/>
            <wp:effectExtent b="0" l="0" r="0" t="0"/>
            <wp:docPr descr="Отчет по модели для второй стратегии с 4 пропускными пунктами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6/report/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55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Отчет по модели для второй стратегии с 4 пропускными пунктами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с помощью GPSS-модели две стратегии обслуживания и оценить оптимальные параметры.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№16</dc:title>
  <dc:creator>Лобанова Полина Иннокентьевна</dc:creator>
  <dc:language>ru-RU</dc:language>
  <cp:keywords/>
  <dcterms:created xsi:type="dcterms:W3CDTF">2025-05-14T14:02:30Z</dcterms:created>
  <dcterms:modified xsi:type="dcterms:W3CDTF">2025-05-14T14:02:30Z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