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7.png" ContentType="image/png"/>
  <Override PartName="/word/media/rId7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доступа локальной сети к внешней сети посредством NAT.</w:t>
      </w:r>
    </w:p>
    <w:bookmarkEnd w:id="20"/>
    <w:bookmarkStart w:id="21" w:name="постановка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Требуется подключить локальную сеть организации к сети Интернет (распределение внешних ip адресов дано в табл. 12.1) с учётом ограничений, накладываемых на определённые подсети локальной сети:</w:t>
      </w:r>
    </w:p>
    <w:p>
      <w:pPr>
        <w:numPr>
          <w:ilvl w:val="0"/>
          <w:numId w:val="1001"/>
        </w:numPr>
      </w:pPr>
      <w:r>
        <w:t xml:space="preserve">сеть управления устройствами не должна иметь доступ в Интернет;</w:t>
      </w:r>
    </w:p>
    <w:p>
      <w:pPr>
        <w:numPr>
          <w:ilvl w:val="0"/>
          <w:numId w:val="1001"/>
        </w:numPr>
      </w:pPr>
      <w:r>
        <w:t xml:space="preserve">оконечные устройства сети дисплейных классов должны иметь доступ только к сайтам, необходимым для учёбы (в данном случае к www.yandex.ru, stud.rudn.university);</w:t>
      </w:r>
    </w:p>
    <w:p>
      <w:pPr>
        <w:numPr>
          <w:ilvl w:val="0"/>
          <w:numId w:val="1001"/>
        </w:numPr>
      </w:pPr>
      <w:r>
        <w:t xml:space="preserve">пользователям из сети кафедр разрешено работать только с образовательными сайтами (в данном случае это esystem.pfur.ru);</w:t>
      </w:r>
    </w:p>
    <w:p>
      <w:pPr>
        <w:numPr>
          <w:ilvl w:val="0"/>
          <w:numId w:val="1001"/>
        </w:numPr>
      </w:pPr>
      <w:r>
        <w:t xml:space="preserve">пользователям сети администрации разрешено работать только с сайтом университета www.rudn.ru;</w:t>
      </w:r>
    </w:p>
    <w:p>
      <w:pPr>
        <w:numPr>
          <w:ilvl w:val="0"/>
          <w:numId w:val="1001"/>
        </w:numPr>
      </w:pPr>
      <w:r>
        <w:t xml:space="preserve">в сети для других пользователей компьютер администратора должен иметь полный доступ во внешнюю сеть, а другие пользователи — не должны выходить в Интернет;</w:t>
      </w:r>
    </w:p>
    <w:p>
      <w:pPr>
        <w:numPr>
          <w:ilvl w:val="0"/>
          <w:numId w:val="1001"/>
        </w:numPr>
      </w:pPr>
      <w:r>
        <w:t xml:space="preserve">ограничения для серверов:</w:t>
      </w:r>
    </w:p>
    <w:p>
      <w:pPr>
        <w:pStyle w:val="FirstParagraph"/>
      </w:pPr>
      <w:r>
        <w:t xml:space="preserve">– WEB-сервер должен быть доступен по порту 80;</w:t>
      </w:r>
    </w:p>
    <w:p>
      <w:pPr>
        <w:pStyle w:val="BodyText"/>
      </w:pPr>
      <w:r>
        <w:t xml:space="preserve">– почтовый сервер должен быть доступен по портам 25 и 110;</w:t>
      </w:r>
    </w:p>
    <w:p>
      <w:pPr>
        <w:pStyle w:val="BodyText"/>
      </w:pPr>
      <w:r>
        <w:t xml:space="preserve">– файловый сервер должен быть доступен извне по портам протокола FTP;</w:t>
      </w:r>
    </w:p>
    <w:p>
      <w:pPr>
        <w:numPr>
          <w:ilvl w:val="0"/>
          <w:numId w:val="1002"/>
        </w:numPr>
        <w:pStyle w:val="Compact"/>
      </w:pPr>
      <w:r>
        <w:t xml:space="preserve">компьютер администратора должен быть доступен из внешней сети по протоколу удалённого рабочего стола (Remote Desktop Protocol, RDP).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 паролю и т.п.</w:t>
      </w:r>
    </w:p>
    <w:p>
      <w:pPr>
        <w:numPr>
          <w:ilvl w:val="0"/>
          <w:numId w:val="1003"/>
        </w:numPr>
      </w:pPr>
      <w:r>
        <w:t xml:space="preserve">Настроить интерфейсы маршрутизатора provider-gw-1 и коммутатора provider-sw-1 провайдера.</w:t>
      </w:r>
    </w:p>
    <w:p>
      <w:pPr>
        <w:numPr>
          <w:ilvl w:val="0"/>
          <w:numId w:val="1003"/>
        </w:numPr>
      </w:pPr>
      <w:r>
        <w:t xml:space="preserve">Настроить интерфейсы маршрутизатора сети «Донская» для доступа к сети провайдера.</w:t>
      </w:r>
    </w:p>
    <w:p>
      <w:pPr>
        <w:numPr>
          <w:ilvl w:val="0"/>
          <w:numId w:val="1003"/>
        </w:numPr>
      </w:pPr>
      <w:r>
        <w:t xml:space="preserve">Настроить на маршрутизаторе сети «Донская» NAT с правилами, указанными в разделе 12.2.</w:t>
      </w:r>
    </w:p>
    <w:p>
      <w:pPr>
        <w:numPr>
          <w:ilvl w:val="0"/>
          <w:numId w:val="1003"/>
        </w:numPr>
      </w:pPr>
      <w:r>
        <w:t xml:space="preserve">Настроить доступ из внешней сети в локальную сеть организации, как указано в разделе 12.2.</w:t>
      </w:r>
    </w:p>
    <w:p>
      <w:pPr>
        <w:numPr>
          <w:ilvl w:val="0"/>
          <w:numId w:val="1003"/>
        </w:numPr>
      </w:pPr>
      <w:r>
        <w:t xml:space="preserve">Проверить работоспособность заданных настроек.</w:t>
      </w:r>
    </w:p>
    <w:p>
      <w:pPr>
        <w:numPr>
          <w:ilvl w:val="0"/>
          <w:numId w:val="1003"/>
        </w:numPr>
      </w:pPr>
      <w:r>
        <w:t xml:space="preserve">При выполнении работы необходимо учитывать соглашение об именовании.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Сделала первоначальную настройку маршрутизатора provider-gw-1 и коммутатора provider-sw-1 провайдера.</w:t>
      </w:r>
    </w:p>
    <w:p>
      <w:pPr>
        <w:pStyle w:val="CaptionedFigure"/>
      </w:pPr>
      <w:bookmarkStart w:id="26" w:name="fig:001"/>
      <w:r>
        <w:drawing>
          <wp:inline>
            <wp:extent cx="4741048" cy="3357922"/>
            <wp:effectExtent b="0" l="0" r="0" t="0"/>
            <wp:docPr descr="Первоначальная настройка маршрутизатора provider-gw-1" title="" id="24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335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rPr>
          <w:iCs/>
          <w:i/>
        </w:rPr>
        <w:t xml:space="preserve">Первоначальная настройка маршрутизатора provider-gw-1</w:t>
      </w:r>
    </w:p>
    <w:p>
      <w:pPr>
        <w:pStyle w:val="CaptionedFigure"/>
      </w:pPr>
      <w:bookmarkStart w:id="30" w:name="fig:002"/>
      <w:r>
        <w:drawing>
          <wp:inline>
            <wp:extent cx="4510527" cy="2366682"/>
            <wp:effectExtent b="0" l="0" r="0" t="0"/>
            <wp:docPr descr="Первоначальная настройка коммутатора provider-sw-1" title="" id="28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236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rPr>
          <w:iCs/>
          <w:i/>
        </w:rPr>
        <w:t xml:space="preserve">Первоначальная настройка коммутатора provider-sw-1</w:t>
      </w:r>
    </w:p>
    <w:p>
      <w:pPr>
        <w:numPr>
          <w:ilvl w:val="0"/>
          <w:numId w:val="1005"/>
        </w:numPr>
        <w:pStyle w:val="Compact"/>
      </w:pPr>
      <w:r>
        <w:t xml:space="preserve">Настроила интерфейсы маршрутизатора provider-gw-1 и коммутатора provider-sw-1 провайдера.</w:t>
      </w:r>
    </w:p>
    <w:p>
      <w:pPr>
        <w:pStyle w:val="CaptionedFigure"/>
      </w:pPr>
      <w:bookmarkStart w:id="34" w:name="fig:003"/>
      <w:r>
        <w:drawing>
          <wp:inline>
            <wp:extent cx="5334000" cy="5125640"/>
            <wp:effectExtent b="0" l="0" r="0" t="0"/>
            <wp:docPr descr="Настройка интерфейсов маршрутизатора provider-gw-1" title="" id="32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rPr>
          <w:iCs/>
          <w:i/>
        </w:rPr>
        <w:t xml:space="preserve">Настройка интерфейсов маршрутизатора provider-gw-1</w:t>
      </w:r>
    </w:p>
    <w:p>
      <w:pPr>
        <w:pStyle w:val="CaptionedFigure"/>
      </w:pPr>
      <w:bookmarkStart w:id="38" w:name="fig:004"/>
      <w:r>
        <w:drawing>
          <wp:inline>
            <wp:extent cx="5334000" cy="4391574"/>
            <wp:effectExtent b="0" l="0" r="0" t="0"/>
            <wp:docPr descr="Настройка интерфейсов коммутатора provider-sw-1" title="" id="36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rPr>
          <w:iCs/>
          <w:i/>
        </w:rPr>
        <w:t xml:space="preserve">Настройка интерфейсов коммутатора provider-sw-1</w:t>
      </w:r>
    </w:p>
    <w:p>
      <w:pPr>
        <w:numPr>
          <w:ilvl w:val="0"/>
          <w:numId w:val="1006"/>
        </w:numPr>
        <w:pStyle w:val="Compact"/>
      </w:pPr>
      <w:r>
        <w:t xml:space="preserve">Настроила интерфейсы маршрутизатора сети «Донская» для доступа к сети провайдера.</w:t>
      </w:r>
    </w:p>
    <w:p>
      <w:pPr>
        <w:pStyle w:val="CaptionedFigure"/>
      </w:pPr>
      <w:bookmarkStart w:id="42" w:name="fig:005"/>
      <w:r>
        <w:drawing>
          <wp:inline>
            <wp:extent cx="5334000" cy="4263234"/>
            <wp:effectExtent b="0" l="0" r="0" t="0"/>
            <wp:docPr descr="Настройка интерфейсов маршрутизатораmsk-donskaya-gw-1" title="" id="40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rPr>
          <w:iCs/>
          <w:i/>
        </w:rPr>
        <w:t xml:space="preserve">Настройка интерфейсов маршрутизатораmsk-donskaya-gw-1</w:t>
      </w:r>
    </w:p>
    <w:p>
      <w:pPr>
        <w:numPr>
          <w:ilvl w:val="0"/>
          <w:numId w:val="1007"/>
        </w:numPr>
        <w:pStyle w:val="Compact"/>
      </w:pPr>
      <w:r>
        <w:t xml:space="preserve">Настроила на маршрутизаторе сети «Донская» NAT с правилами, указанными в разделе 12.2.</w:t>
      </w:r>
    </w:p>
    <w:p>
      <w:pPr>
        <w:pStyle w:val="CaptionedFigure"/>
      </w:pPr>
      <w:bookmarkStart w:id="46" w:name="fig:006"/>
      <w:r>
        <w:drawing>
          <wp:inline>
            <wp:extent cx="5334000" cy="536047"/>
            <wp:effectExtent b="0" l="0" r="0" t="0"/>
            <wp:docPr descr="Настройка пула адресов для NAT" title="" id="44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rPr>
          <w:iCs/>
          <w:i/>
        </w:rPr>
        <w:t xml:space="preserve">Настройка пула адресов для NAT</w:t>
      </w:r>
    </w:p>
    <w:p>
      <w:pPr>
        <w:pStyle w:val="CaptionedFigure"/>
      </w:pPr>
      <w:bookmarkStart w:id="50" w:name="fig:007"/>
      <w:r>
        <w:drawing>
          <wp:inline>
            <wp:extent cx="5334000" cy="976460"/>
            <wp:effectExtent b="0" l="0" r="0" t="0"/>
            <wp:docPr descr="Настройка списка доступа для NAT (Сеть дисплейных классов)" title="" id="48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rPr>
          <w:iCs/>
          <w:i/>
        </w:rPr>
        <w:t xml:space="preserve">Настройка списка доступа для NAT (Сеть дисплейных классов)</w:t>
      </w:r>
    </w:p>
    <w:p>
      <w:pPr>
        <w:pStyle w:val="CaptionedFigure"/>
      </w:pPr>
      <w:bookmarkStart w:id="54" w:name="fig:008"/>
      <w:r>
        <w:drawing>
          <wp:inline>
            <wp:extent cx="5334000" cy="642730"/>
            <wp:effectExtent b="0" l="0" r="0" t="0"/>
            <wp:docPr descr="Настройка списка доступа для NAT (Сеть кафедр)" title="" id="52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rPr>
          <w:iCs/>
          <w:i/>
        </w:rPr>
        <w:t xml:space="preserve">Настройка списка доступа для NAT (Сеть кафедр)</w:t>
      </w:r>
    </w:p>
    <w:p>
      <w:pPr>
        <w:pStyle w:val="CaptionedFigure"/>
      </w:pPr>
      <w:bookmarkStart w:id="58" w:name="fig:009"/>
      <w:r>
        <w:drawing>
          <wp:inline>
            <wp:extent cx="5334000" cy="642730"/>
            <wp:effectExtent b="0" l="0" r="0" t="0"/>
            <wp:docPr descr="Настройка списка доступа для NAT (Сеть администрации)" title="" id="56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rPr>
          <w:iCs/>
          <w:i/>
        </w:rPr>
        <w:t xml:space="preserve">Настройка списка доступа для NAT (Сеть администрации)</w:t>
      </w:r>
    </w:p>
    <w:p>
      <w:pPr>
        <w:pStyle w:val="CaptionedFigure"/>
      </w:pPr>
      <w:bookmarkStart w:id="62" w:name="fig:010"/>
      <w:r>
        <w:drawing>
          <wp:inline>
            <wp:extent cx="5334000" cy="611880"/>
            <wp:effectExtent b="0" l="0" r="0" t="0"/>
            <wp:docPr descr="Настройка списка доступа для NAT (Доступ для компьютера администратора)" title="" id="60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rPr>
          <w:iCs/>
          <w:i/>
        </w:rPr>
        <w:t xml:space="preserve">Настройка списка доступа для NAT (Доступ для компьютера администратора)</w:t>
      </w:r>
    </w:p>
    <w:p>
      <w:pPr>
        <w:numPr>
          <w:ilvl w:val="0"/>
          <w:numId w:val="1008"/>
        </w:numPr>
        <w:pStyle w:val="Compact"/>
      </w:pPr>
      <w:r>
        <w:t xml:space="preserve">Настроила NAT.</w:t>
      </w:r>
    </w:p>
    <w:p>
      <w:pPr>
        <w:pStyle w:val="CaptionedFigure"/>
      </w:pPr>
      <w:bookmarkStart w:id="66" w:name="fig:011"/>
      <w:r>
        <w:drawing>
          <wp:inline>
            <wp:extent cx="5334000" cy="412354"/>
            <wp:effectExtent b="0" l="0" r="0" t="0"/>
            <wp:docPr descr="Настройка Port Address Translation" title="" id="64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rPr>
          <w:iCs/>
          <w:i/>
        </w:rPr>
        <w:t xml:space="preserve">Настройка Port Address Translation</w:t>
      </w:r>
    </w:p>
    <w:p>
      <w:pPr>
        <w:pStyle w:val="CaptionedFigure"/>
      </w:pPr>
      <w:bookmarkStart w:id="70" w:name="fig:012"/>
      <w:r>
        <w:drawing>
          <wp:inline>
            <wp:extent cx="5334000" cy="2341107"/>
            <wp:effectExtent b="0" l="0" r="0" t="0"/>
            <wp:docPr descr="Настройка интерфейсов для NAT" title="" id="68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rPr>
          <w:iCs/>
          <w:i/>
        </w:rPr>
        <w:t xml:space="preserve">Настройка интерфейсов для NAT</w:t>
      </w:r>
    </w:p>
    <w:p>
      <w:pPr>
        <w:numPr>
          <w:ilvl w:val="0"/>
          <w:numId w:val="1009"/>
        </w:numPr>
        <w:pStyle w:val="Compact"/>
      </w:pPr>
      <w:r>
        <w:t xml:space="preserve">Настроила доступа из Интернета.</w:t>
      </w:r>
    </w:p>
    <w:p>
      <w:pPr>
        <w:pStyle w:val="CaptionedFigure"/>
      </w:pPr>
      <w:bookmarkStart w:id="74" w:name="fig:013"/>
      <w:r>
        <w:drawing>
          <wp:inline>
            <wp:extent cx="5334000" cy="399000"/>
            <wp:effectExtent b="0" l="0" r="0" t="0"/>
            <wp:docPr descr="Настройка доступа из Интернета (WWW-сервер)" title="" id="72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2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rPr>
          <w:iCs/>
          <w:i/>
        </w:rPr>
        <w:t xml:space="preserve">Настройка доступа из Интернета (WWW-сервер)</w:t>
      </w:r>
    </w:p>
    <w:p>
      <w:pPr>
        <w:pStyle w:val="CaptionedFigure"/>
      </w:pPr>
      <w:bookmarkStart w:id="78" w:name="fig:014"/>
      <w:r>
        <w:drawing>
          <wp:inline>
            <wp:extent cx="5334000" cy="405703"/>
            <wp:effectExtent b="0" l="0" r="0" t="0"/>
            <wp:docPr descr="Настройка доступа из Интернета (Файловый сервер)" title="" id="76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rPr>
          <w:iCs/>
          <w:i/>
        </w:rPr>
        <w:t xml:space="preserve">Настройка доступа из Интернета (Файловый сервер)</w:t>
      </w:r>
    </w:p>
    <w:p>
      <w:pPr>
        <w:pStyle w:val="CaptionedFigure"/>
      </w:pPr>
      <w:bookmarkStart w:id="82" w:name="fig:015"/>
      <w:r>
        <w:drawing>
          <wp:inline>
            <wp:extent cx="5334000" cy="532069"/>
            <wp:effectExtent b="0" l="0" r="0" t="0"/>
            <wp:docPr descr="Настройка доступа из Интернета (Почтовый сервер)" title="" id="80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rPr>
          <w:iCs/>
          <w:i/>
        </w:rPr>
        <w:t xml:space="preserve">Настройка доступа из Интернета (Почтовый сервер)</w:t>
      </w:r>
    </w:p>
    <w:p>
      <w:pPr>
        <w:pStyle w:val="CaptionedFigure"/>
      </w:pPr>
      <w:bookmarkStart w:id="86" w:name="fig:016"/>
      <w:r>
        <w:drawing>
          <wp:inline>
            <wp:extent cx="5334000" cy="310654"/>
            <wp:effectExtent b="0" l="0" r="0" t="0"/>
            <wp:docPr descr="Настройка доступа из Интернета ( Доступ по RDP)" title="" id="84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rPr>
          <w:iCs/>
          <w:i/>
        </w:rPr>
        <w:t xml:space="preserve">Настройка доступа из Интернета ( Доступ по RDP)</w:t>
      </w:r>
    </w:p>
    <w:p>
      <w:pPr>
        <w:numPr>
          <w:ilvl w:val="0"/>
          <w:numId w:val="1010"/>
        </w:numPr>
        <w:pStyle w:val="Compact"/>
      </w:pPr>
      <w:r>
        <w:t xml:space="preserve">Проверила работоспособность заданных настроек.</w:t>
      </w:r>
    </w:p>
    <w:p>
      <w:pPr>
        <w:pStyle w:val="CaptionedFigure"/>
      </w:pPr>
      <w:bookmarkStart w:id="90" w:name="fig:017"/>
      <w:r>
        <w:drawing>
          <wp:inline>
            <wp:extent cx="5334000" cy="3617099"/>
            <wp:effectExtent b="0" l="0" r="0" t="0"/>
            <wp:docPr descr="Проверка работоспособности" title="" id="88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rPr>
          <w:iCs/>
          <w:i/>
        </w:rPr>
        <w:t xml:space="preserve">Проверка работоспособности</w:t>
      </w:r>
    </w:p>
    <w:p>
      <w:pPr>
        <w:pStyle w:val="CaptionedFigure"/>
      </w:pPr>
      <w:bookmarkStart w:id="94" w:name="fig:018"/>
      <w:r>
        <w:drawing>
          <wp:inline>
            <wp:extent cx="5334000" cy="1960671"/>
            <wp:effectExtent b="0" l="0" r="0" t="0"/>
            <wp:docPr descr="Проверка работоспособности" title="" id="92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rPr>
          <w:iCs/>
          <w:i/>
        </w:rPr>
        <w:t xml:space="preserve">Проверка работоспособности</w:t>
      </w:r>
    </w:p>
    <w:p>
      <w:pPr>
        <w:pStyle w:val="CaptionedFigure"/>
      </w:pPr>
      <w:bookmarkStart w:id="98" w:name="fig:019"/>
      <w:r>
        <w:drawing>
          <wp:inline>
            <wp:extent cx="5334000" cy="2004068"/>
            <wp:effectExtent b="0" l="0" r="0" t="0"/>
            <wp:docPr descr="Проверка работоспособности" title="" id="96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rPr>
          <w:iCs/>
          <w:i/>
        </w:rPr>
        <w:t xml:space="preserve">Проверка работоспособности</w:t>
      </w:r>
    </w:p>
    <w:p>
      <w:pPr>
        <w:pStyle w:val="CaptionedFigure"/>
      </w:pPr>
      <w:bookmarkStart w:id="102" w:name="fig:020"/>
      <w:r>
        <w:drawing>
          <wp:inline>
            <wp:extent cx="5334000" cy="1956816"/>
            <wp:effectExtent b="0" l="0" r="0" t="0"/>
            <wp:docPr descr="Проверка работоспособности" title="" id="100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2/report/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rPr>
          <w:iCs/>
          <w:i/>
        </w:rPr>
        <w:t xml:space="preserve">Проверка работоспособности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по настройке доступа локальной сети к внешней сети посредством NAT.</w:t>
      </w:r>
    </w:p>
    <w:bookmarkEnd w:id="104"/>
    <w:bookmarkStart w:id="10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В чем состоит основной принцип работы NAT (что обеспечивает наличие NAT в сети организации)?</w:t>
      </w:r>
    </w:p>
    <w:p>
      <w:pPr>
        <w:pStyle w:val="FirstParagraph"/>
      </w:pPr>
      <w:r>
        <w:t xml:space="preserve">Идея NAT заключается в том, чтобы изучить перевод частного локального IP-адреса в общедоступный глобальный IP-адрес и наоборот. Это необходимо для обеспечения доступа к локальному узлу Интернета с использованием частного адреса.</w:t>
      </w:r>
    </w:p>
    <w:p>
      <w:pPr>
        <w:pStyle w:val="BodyText"/>
      </w:pPr>
      <w:r>
        <w:t xml:space="preserve">Наличие NAT в сети организации позволяет экономить публичные IP-адреса и повышать безопасность внутренних устройств с прямым доступом извне.</w:t>
      </w:r>
    </w:p>
    <w:p>
      <w:pPr>
        <w:numPr>
          <w:ilvl w:val="0"/>
          <w:numId w:val="1012"/>
        </w:numPr>
        <w:pStyle w:val="Compact"/>
      </w:pPr>
      <w:r>
        <w:t xml:space="preserve">В чем состоит принцип настройки NAT (на каком оборудовании и что нужно настроить для из локальной сети во внешней сети через NAT)?</w:t>
      </w:r>
    </w:p>
    <w:p>
      <w:pPr>
        <w:pStyle w:val="FirstParagraph"/>
      </w:pPr>
      <w:r>
        <w:t xml:space="preserve">Как правило, граничный маршрутизатор настроен для NAT, то есть маршрутизатор, который имеет один интерфейс в локальной (внутренней, внутренней) сети и один интерфейс в глобальной (внешней, внешней) сети. Когда пакет проходит через границы локальной (внутренней) сети, NAT преобразует локальный (частный, частный) IP-адрес в глобальный (публичный, публичный) IP-адрес. Когда пакет входит в локальную сеть, глобальный (публичный) IP-адрес преобразуется в локальный (частный) IP-адрес. Граничные выступы служат шлюзом между внутренней корпоративной сетью и внешней сетью, например Интернетом.</w:t>
      </w:r>
    </w:p>
    <w:p>
      <w:pPr>
        <w:numPr>
          <w:ilvl w:val="0"/>
          <w:numId w:val="1013"/>
        </w:numPr>
        <w:pStyle w:val="Compact"/>
      </w:pPr>
      <w:r>
        <w:t xml:space="preserve">Можно ли применить Cisco IOS NAT к субинтерфейсам?</w:t>
      </w:r>
    </w:p>
    <w:p>
      <w:pPr>
        <w:pStyle w:val="FirstParagraph"/>
      </w:pPr>
      <w:r>
        <w:t xml:space="preserve">Да. Преобразование источника или назначения NAT может применяться к любому интерфейсу или подинтерфейсу с IP-адресом (включая интерфейсы программы набора номеров).</w:t>
      </w:r>
    </w:p>
    <w:p>
      <w:pPr>
        <w:numPr>
          <w:ilvl w:val="0"/>
          <w:numId w:val="1014"/>
        </w:numPr>
        <w:pStyle w:val="Compact"/>
      </w:pPr>
      <w:r>
        <w:t xml:space="preserve">Что такое пулы IP NAT?</w:t>
      </w:r>
    </w:p>
    <w:p>
      <w:pPr>
        <w:pStyle w:val="FirstParagraph"/>
      </w:pPr>
      <w:r>
        <w:t xml:space="preserve">Пул NAT — это набор из одного или нескольких общедоступных IPv4-адресов, которые используются в маршрутизаторе NAT.</w:t>
      </w:r>
    </w:p>
    <w:p>
      <w:pPr>
        <w:pStyle w:val="BodyText"/>
      </w:pPr>
      <w:r>
        <w:t xml:space="preserve">При отправке трафика из внутренней сети во внешнюю сеть маршрутизатор преобразует его внутренний IPv4-адрес в один из адресов, входящий в состав пула.</w:t>
      </w:r>
    </w:p>
    <w:p>
      <w:pPr>
        <w:pStyle w:val="BodyText"/>
      </w:pPr>
      <w:r>
        <w:t xml:space="preserve">В результате действия такого механизма весь исходящий из сетевого трафика внешние устройства «видят» с общедоступным адресом IPv4, который можно назвать IP-адресом NAT.</w:t>
      </w:r>
    </w:p>
    <w:p>
      <w:pPr>
        <w:numPr>
          <w:ilvl w:val="0"/>
          <w:numId w:val="1015"/>
        </w:numPr>
        <w:pStyle w:val="Compact"/>
      </w:pPr>
      <w:r>
        <w:t xml:space="preserve">Что такое статические преобразования NAT?</w:t>
      </w:r>
    </w:p>
    <w:p>
      <w:pPr>
        <w:pStyle w:val="FirstParagraph"/>
      </w:pPr>
      <w:r>
        <w:t xml:space="preserve">Статическое преобразование сетевых адресов (NAT) обеспечивает однозначное преобразование внутренних IP-адресов во внешние. Это позволяет изменить IP-адрес внутренней сети на внешний IP-адрес. Статический NAT позволяет сохранять соединения как внутренние, так и внешние системы, например хосты Интернета.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7" Target="media/rId27.png" /><Relationship Type="http://schemas.openxmlformats.org/officeDocument/2006/relationships/image" Id="rId71" Target="media/rId7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Лобанова Полина Иннокентьевна</dc:creator>
  <dc:language>ru-RU</dc:language>
  <cp:keywords/>
  <dcterms:created xsi:type="dcterms:W3CDTF">2025-04-21T15:55:20Z</dcterms:created>
  <dcterms:modified xsi:type="dcterms:W3CDTF">2025-04-21T15:55:20Z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