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4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Администрирование</w:t>
      </w:r>
      <w:r>
        <w:t xml:space="preserve"> </w:t>
      </w:r>
      <w:r>
        <w:t xml:space="preserve">локальных</w:t>
      </w:r>
      <w:r>
        <w:t xml:space="preserve"> </w:t>
      </w:r>
      <w:r>
        <w:t xml:space="preserve">сетей</w:t>
      </w:r>
    </w:p>
    <w:p>
      <w:pPr>
        <w:pStyle w:val="Author"/>
      </w:pPr>
      <w:r>
        <w:t xml:space="preserve">Лобанова</w:t>
      </w:r>
      <w:r>
        <w:t xml:space="preserve"> </w:t>
      </w:r>
      <w:r>
        <w:t xml:space="preserve">Полина</w:t>
      </w:r>
      <w:r>
        <w:t xml:space="preserve"> </w:t>
      </w:r>
      <w:r>
        <w:t xml:space="preserve">Иннокентьевна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Провести подготовительные мероприятия по организации взаимодействия через сеть провайдера посредством статической маршрутизации локальной сети с сетью основного здания, расположенного в 42-м квартале в Москве, и сетью филиала, расположенного в г. Сочи.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Внести изменения в схемы L1, L2 и L3 сети, добавив в них информацию о сети основной территории (42-й квартал в Москве) и сети филиала в г. Сочи.</w:t>
      </w:r>
    </w:p>
    <w:p>
      <w:pPr>
        <w:numPr>
          <w:ilvl w:val="0"/>
          <w:numId w:val="1001"/>
        </w:numPr>
      </w:pPr>
      <w:r>
        <w:t xml:space="preserve">Дополнить схему проекта, добавив подсеть основной территории организации 42-го квартала в Москве и подсеть филиала в г. Сочи.</w:t>
      </w:r>
    </w:p>
    <w:p>
      <w:pPr>
        <w:numPr>
          <w:ilvl w:val="0"/>
          <w:numId w:val="1001"/>
        </w:numPr>
      </w:pPr>
      <w:r>
        <w:t xml:space="preserve">Сделать первоначальную настройку добавленного в проект оборудования.</w:t>
      </w:r>
    </w:p>
    <w:p>
      <w:pPr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именовании.</w:t>
      </w:r>
    </w:p>
    <w:bookmarkEnd w:id="21"/>
    <w:bookmarkStart w:id="8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Внесла изменения в схемы L1, L2 и L3 сети.</w:t>
      </w:r>
    </w:p>
    <w:p>
      <w:pPr>
        <w:pStyle w:val="CaptionedFigure"/>
      </w:pPr>
      <w:bookmarkStart w:id="25" w:name="fig:001"/>
      <w:r>
        <w:drawing>
          <wp:inline>
            <wp:extent cx="5334000" cy="4345774"/>
            <wp:effectExtent b="0" l="0" r="0" t="0"/>
            <wp:docPr descr="Схема L1" title="" id="23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13/report/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5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rPr>
          <w:iCs/>
          <w:i/>
        </w:rPr>
        <w:t xml:space="preserve">Схема L1</w:t>
      </w:r>
    </w:p>
    <w:p>
      <w:pPr>
        <w:pStyle w:val="CaptionedFigure"/>
      </w:pPr>
      <w:bookmarkStart w:id="29" w:name="fig:002"/>
      <w:r>
        <w:drawing>
          <wp:inline>
            <wp:extent cx="5334000" cy="4298910"/>
            <wp:effectExtent b="0" l="0" r="0" t="0"/>
            <wp:docPr descr="Схема L2" title="" id="27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13/report/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rPr>
          <w:iCs/>
          <w:i/>
        </w:rPr>
        <w:t xml:space="preserve">Схема L2</w:t>
      </w:r>
    </w:p>
    <w:p>
      <w:pPr>
        <w:pStyle w:val="CaptionedFigure"/>
      </w:pPr>
      <w:bookmarkStart w:id="33" w:name="fig:003"/>
      <w:r>
        <w:drawing>
          <wp:inline>
            <wp:extent cx="5334000" cy="5334000"/>
            <wp:effectExtent b="0" l="0" r="0" t="0"/>
            <wp:docPr descr="Схема L3" title="" id="31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13/report/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rPr>
          <w:iCs/>
          <w:i/>
        </w:rPr>
        <w:t xml:space="preserve">Схема L3</w:t>
      </w:r>
    </w:p>
    <w:p>
      <w:pPr>
        <w:numPr>
          <w:ilvl w:val="0"/>
          <w:numId w:val="1003"/>
        </w:numPr>
        <w:pStyle w:val="Compact"/>
      </w:pPr>
      <w:r>
        <w:t xml:space="preserve">На схеме предыдущего проекта разместила необходимое оборудование: 4 медиаконвертера (Repeater-PT), 2 маршрутизатора типа Cisco 2811, 1 маршрутизирующий коммутатор типа Cisco 3560-24PS, 2 коммутатора типа Cisco 2950-24, коммутатор Cisco 2950-24T, 3 оконечных устройства типа PC-PT и присвоила названия размещённым объектам.</w:t>
      </w:r>
    </w:p>
    <w:p>
      <w:pPr>
        <w:pStyle w:val="CaptionedFigure"/>
      </w:pPr>
      <w:bookmarkStart w:id="37" w:name="fig:004"/>
      <w:r>
        <w:drawing>
          <wp:inline>
            <wp:extent cx="3580759" cy="4395267"/>
            <wp:effectExtent b="0" l="0" r="0" t="0"/>
            <wp:docPr descr="Схема сети с дополнительными площадками" title="" id="35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13/report/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759" cy="4395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rPr>
          <w:iCs/>
          <w:i/>
        </w:rPr>
        <w:t xml:space="preserve">Схема сети с дополнительными площадками</w:t>
      </w:r>
    </w:p>
    <w:p>
      <w:pPr>
        <w:numPr>
          <w:ilvl w:val="0"/>
          <w:numId w:val="1004"/>
        </w:numPr>
        <w:pStyle w:val="Compact"/>
      </w:pPr>
      <w:r>
        <w:t xml:space="preserve">На медиаконвертерах заменила имеющиеся модули на PT-REPEATERNM-1FFE и PT-REPEATER-NM-1CFE для подключения витой пары по технологии Fast Ethernet и оптоволокна соответственно.</w:t>
      </w:r>
    </w:p>
    <w:p>
      <w:pPr>
        <w:pStyle w:val="CaptionedFigure"/>
      </w:pPr>
      <w:bookmarkStart w:id="41" w:name="fig:005"/>
      <w:r>
        <w:drawing>
          <wp:inline>
            <wp:extent cx="5334000" cy="1722820"/>
            <wp:effectExtent b="0" l="0" r="0" t="0"/>
            <wp:docPr descr="Медиаконвертер с модулями PT-REPEATER-NM-1FFE и PT-REPEATER-NM-1CFE" title="" id="39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13/report/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2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rPr>
          <w:iCs/>
          <w:i/>
        </w:rPr>
        <w:t xml:space="preserve">Медиаконвертер с модулями PT-REPEATER-NM-1FFE и PT-REPEATER-NM-1CFE</w:t>
      </w:r>
    </w:p>
    <w:p>
      <w:pPr>
        <w:numPr>
          <w:ilvl w:val="0"/>
          <w:numId w:val="1005"/>
        </w:numPr>
        <w:pStyle w:val="Compact"/>
      </w:pPr>
      <w:r>
        <w:t xml:space="preserve">На маршрутизаторе msk-q42-gw-1 добавила дополнительный интерфейс NM-2FE2W.</w:t>
      </w:r>
    </w:p>
    <w:p>
      <w:pPr>
        <w:pStyle w:val="CaptionedFigure"/>
      </w:pPr>
      <w:bookmarkStart w:id="45" w:name="fig:006"/>
      <w:r>
        <w:drawing>
          <wp:inline>
            <wp:extent cx="5334000" cy="1869335"/>
            <wp:effectExtent b="0" l="0" r="0" t="0"/>
            <wp:docPr descr="Маршрутизатор с дополнительным интерфейсом NM-2FE2W" title="" id="43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13/report/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9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rPr>
          <w:iCs/>
          <w:i/>
        </w:rPr>
        <w:t xml:space="preserve">Маршрутизатор с дополнительным интерфейсом NM-2FE2W</w:t>
      </w:r>
    </w:p>
    <w:p>
      <w:pPr>
        <w:numPr>
          <w:ilvl w:val="0"/>
          <w:numId w:val="1006"/>
        </w:numPr>
        <w:pStyle w:val="Compact"/>
      </w:pPr>
      <w:r>
        <w:t xml:space="preserve">В физической рабочей области Packet Tracer добавила в г. Москва здание 42-го квартала и присвоила ему соответствующее название.</w:t>
      </w:r>
    </w:p>
    <w:p>
      <w:pPr>
        <w:pStyle w:val="CaptionedFigure"/>
      </w:pPr>
      <w:bookmarkStart w:id="49" w:name="fig:007"/>
      <w:r>
        <w:drawing>
          <wp:inline>
            <wp:extent cx="5334000" cy="3676057"/>
            <wp:effectExtent b="0" l="0" r="0" t="0"/>
            <wp:docPr descr="Здание основной территории организации в Москве на физической схеме проекта" title="" id="47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13/report/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6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rPr>
          <w:iCs/>
          <w:i/>
        </w:rPr>
        <w:t xml:space="preserve">Здание основной территории организации в Москве на физической схеме проекта</w:t>
      </w:r>
    </w:p>
    <w:p>
      <w:pPr>
        <w:numPr>
          <w:ilvl w:val="0"/>
          <w:numId w:val="1007"/>
        </w:numPr>
        <w:pStyle w:val="Compact"/>
      </w:pPr>
      <w:r>
        <w:t xml:space="preserve">В физической рабочей области Packet Tracer добавила город Сочи и в нём здание филиала, присвоила ему соответствующее название.</w:t>
      </w:r>
    </w:p>
    <w:p>
      <w:pPr>
        <w:pStyle w:val="CaptionedFigure"/>
      </w:pPr>
      <w:bookmarkStart w:id="53" w:name="fig:008"/>
      <w:r>
        <w:drawing>
          <wp:inline>
            <wp:extent cx="4648840" cy="2097741"/>
            <wp:effectExtent b="0" l="0" r="0" t="0"/>
            <wp:docPr descr="Москва и Сочи на физической схеме проекта" title="" id="51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13/report/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840" cy="2097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rPr>
          <w:iCs/>
          <w:i/>
        </w:rPr>
        <w:t xml:space="preserve">Москва и Сочи на физической схеме проекта</w:t>
      </w:r>
    </w:p>
    <w:p>
      <w:pPr>
        <w:numPr>
          <w:ilvl w:val="0"/>
          <w:numId w:val="1008"/>
        </w:numPr>
        <w:pStyle w:val="Compact"/>
      </w:pPr>
      <w:r>
        <w:t xml:space="preserve">Перенесила из сети «Донская» оборудование сети 42-го квартала и сети филиала в соответствующие здания.</w:t>
      </w:r>
    </w:p>
    <w:p>
      <w:pPr>
        <w:pStyle w:val="CaptionedFigure"/>
      </w:pPr>
      <w:bookmarkStart w:id="57" w:name="fig:009"/>
      <w:r>
        <w:drawing>
          <wp:inline>
            <wp:extent cx="3288766" cy="2243737"/>
            <wp:effectExtent b="0" l="0" r="0" t="0"/>
            <wp:docPr descr="Размещение объектов в основном здании 42-го квартала в Москве" title="" id="55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13/report/image/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766" cy="2243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rPr>
          <w:iCs/>
          <w:i/>
        </w:rPr>
        <w:t xml:space="preserve">Размещение объектов в основном здании 42-го квартала в Москве</w:t>
      </w:r>
    </w:p>
    <w:p>
      <w:pPr>
        <w:pStyle w:val="CaptionedFigure"/>
      </w:pPr>
      <w:bookmarkStart w:id="61" w:name="fig:010"/>
      <w:r>
        <w:drawing>
          <wp:inline>
            <wp:extent cx="2919932" cy="3150453"/>
            <wp:effectExtent b="0" l="0" r="0" t="0"/>
            <wp:docPr descr="Размещение объектов в здании филиала в г.Сочи" title="" id="59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13/report/image/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932" cy="3150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rPr>
          <w:iCs/>
          <w:i/>
        </w:rPr>
        <w:t xml:space="preserve">Размещение объектов в здании филиала в г.Сочи</w:t>
      </w:r>
    </w:p>
    <w:p>
      <w:pPr>
        <w:numPr>
          <w:ilvl w:val="0"/>
          <w:numId w:val="1009"/>
        </w:numPr>
        <w:pStyle w:val="Compact"/>
      </w:pPr>
      <w:r>
        <w:t xml:space="preserve">Сделала первоначальную настройку добавленного в проект оборудования.</w:t>
      </w:r>
    </w:p>
    <w:p>
      <w:pPr>
        <w:pStyle w:val="CaptionedFigure"/>
      </w:pPr>
      <w:bookmarkStart w:id="65" w:name="fig:011"/>
      <w:r>
        <w:drawing>
          <wp:inline>
            <wp:extent cx="5334000" cy="2999543"/>
            <wp:effectExtent b="0" l="0" r="0" t="0"/>
            <wp:docPr descr="Первоначальная настройка маршрутизатора msk-q42-gw-1" title="" id="63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13/report/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rPr>
          <w:iCs/>
          <w:i/>
        </w:rPr>
        <w:t xml:space="preserve">Первоначальная настройка маршрутизатора msk-q42-gw-1</w:t>
      </w:r>
    </w:p>
    <w:p>
      <w:pPr>
        <w:pStyle w:val="CaptionedFigure"/>
      </w:pPr>
      <w:bookmarkStart w:id="69" w:name="fig:012"/>
      <w:r>
        <w:drawing>
          <wp:inline>
            <wp:extent cx="5048410" cy="3557707"/>
            <wp:effectExtent b="0" l="0" r="0" t="0"/>
            <wp:docPr descr="Первоначальная настройка коммутатора msk-q42-sw-1" title="" id="67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13/report/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410" cy="3557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rPr>
          <w:iCs/>
          <w:i/>
        </w:rPr>
        <w:t xml:space="preserve">Первоначальная настройка коммутатора msk-q42-sw-1</w:t>
      </w:r>
    </w:p>
    <w:p>
      <w:pPr>
        <w:pStyle w:val="CaptionedFigure"/>
      </w:pPr>
      <w:bookmarkStart w:id="73" w:name="fig:013"/>
      <w:r>
        <w:drawing>
          <wp:inline>
            <wp:extent cx="5334000" cy="4184831"/>
            <wp:effectExtent b="0" l="0" r="0" t="0"/>
            <wp:docPr descr="Первоначальная настройка маршрутизирующего коммутатора msk-hostel-gw-1" title="" id="71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13/report/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4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rPr>
          <w:iCs/>
          <w:i/>
        </w:rPr>
        <w:t xml:space="preserve">Первоначальная настройка маршрутизирующего коммутатора msk-hostel-gw-1</w:t>
      </w:r>
    </w:p>
    <w:p>
      <w:pPr>
        <w:pStyle w:val="CaptionedFigure"/>
      </w:pPr>
      <w:bookmarkStart w:id="77" w:name="fig:014"/>
      <w:r>
        <w:drawing>
          <wp:inline>
            <wp:extent cx="4633472" cy="3688336"/>
            <wp:effectExtent b="0" l="0" r="0" t="0"/>
            <wp:docPr descr="Первоначальная настройка коммутатора msk-hostel-sw-1" title="" id="75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13/report/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472" cy="3688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rPr>
          <w:iCs/>
          <w:i/>
        </w:rPr>
        <w:t xml:space="preserve">Первоначальная настройка коммутатора msk-hostel-sw-1</w:t>
      </w:r>
    </w:p>
    <w:p>
      <w:pPr>
        <w:pStyle w:val="CaptionedFigure"/>
      </w:pPr>
      <w:bookmarkStart w:id="81" w:name="fig:015"/>
      <w:r>
        <w:drawing>
          <wp:inline>
            <wp:extent cx="4741048" cy="3557707"/>
            <wp:effectExtent b="0" l="0" r="0" t="0"/>
            <wp:docPr descr="Первоначальная настройка коммутатора sch-sochi-sw-1" title="" id="79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13/report/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048" cy="3557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rPr>
          <w:iCs/>
          <w:i/>
        </w:rPr>
        <w:t xml:space="preserve">Первоначальная настройка коммутатора sch-sochi-sw-1</w:t>
      </w:r>
    </w:p>
    <w:p>
      <w:pPr>
        <w:pStyle w:val="CaptionedFigure"/>
      </w:pPr>
      <w:bookmarkStart w:id="85" w:name="fig:016"/>
      <w:r>
        <w:drawing>
          <wp:inline>
            <wp:extent cx="4656524" cy="3580759"/>
            <wp:effectExtent b="0" l="0" r="0" t="0"/>
            <wp:docPr descr="Первоначальная настройка маршрутизатора sch-sochi-gw-1" title="" id="83" name="Picture"/>
            <a:graphic>
              <a:graphicData uri="http://schemas.openxmlformats.org/drawingml/2006/picture">
                <pic:pic>
                  <pic:nvPicPr>
                    <pic:cNvPr descr="/home/pilobanova/work/study/2024-2025/Администрирование%20локальных%20сетей/net-admin/net-admin/labs/lab13/report/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524" cy="3580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rPr>
          <w:iCs/>
          <w:i/>
        </w:rPr>
        <w:t xml:space="preserve">Первоначальная настройка маршрутизатора sch-sochi-gw-1</w:t>
      </w:r>
    </w:p>
    <w:bookmarkEnd w:id="86"/>
    <w:bookmarkStart w:id="8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провела подготовительные мероприятия по организации взаимодействия через сеть провайдера посредством статической маршрутизации локальной сети с сетью основного здания, расположенного в 42-м квартале в Москве, и сетью филиала, расположенного в г. Сочи.</w:t>
      </w:r>
    </w:p>
    <w:bookmarkEnd w:id="87"/>
    <w:bookmarkStart w:id="89" w:name="список-литературы"/>
    <w:p>
      <w:pPr>
        <w:pStyle w:val="Heading1"/>
      </w:pPr>
      <w:r>
        <w:t xml:space="preserve">Список литературы</w:t>
      </w:r>
    </w:p>
    <w:bookmarkStart w:id="88" w:name="refs"/>
    <w:bookmarkEnd w:id="88"/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4" Target="media/rId54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8" Target="media/rId5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№13</dc:title>
  <dc:creator>Лобанова Полина Иннокентьевна</dc:creator>
  <dc:language>ru-RU</dc:language>
  <cp:keywords/>
  <dcterms:created xsi:type="dcterms:W3CDTF">2025-04-23T14:29:18Z</dcterms:created>
  <dcterms:modified xsi:type="dcterms:W3CDTF">2025-04-23T14:29:18Z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Администрирование локальных сетей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