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Настроить динамическую маршрутизацию по протоколу OSPF на маршрутизаторах msk-donskaya-gw-1, msk-q42-gw-1, msk-hostel-gw-1, sch-sochi-gw-1.</w:t>
      </w:r>
    </w:p>
    <w:p>
      <w:pPr>
        <w:numPr>
          <w:ilvl w:val="0"/>
          <w:numId w:val="1001"/>
        </w:numPr>
      </w:pPr>
      <w:r>
        <w:t xml:space="preserve">Настроить связь сети квартала 42 в Москве с сетью филиала в г. Сочи напрямую.</w:t>
      </w:r>
    </w:p>
    <w:p>
      <w:pPr>
        <w:numPr>
          <w:ilvl w:val="0"/>
          <w:numId w:val="1001"/>
        </w:numPr>
      </w:pPr>
      <w:r>
        <w:t xml:space="preserve">В режиме симуляции отследить движение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numPr>
          <w:ilvl w:val="0"/>
          <w:numId w:val="1001"/>
        </w:numPr>
      </w:pPr>
      <w:r>
        <w:t xml:space="preserve">На коммутаторе провайдера отключить временно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numPr>
          <w:ilvl w:val="0"/>
          <w:numId w:val="1001"/>
        </w:numPr>
      </w:pPr>
      <w:r>
        <w:t xml:space="preserve">На коммутаторе провайдера восстановить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Настроила динамическую маршрутизацию по протоколу OSPF на маршрутизаторе msk-donskaya-gw-1.</w:t>
      </w:r>
    </w:p>
    <w:p>
      <w:pPr>
        <w:pStyle w:val="CaptionedFigure"/>
      </w:pPr>
      <w:bookmarkStart w:id="25" w:name="fig:001"/>
      <w:r>
        <w:drawing>
          <wp:inline>
            <wp:extent cx="5334000" cy="1044327"/>
            <wp:effectExtent b="0" l="0" r="0" t="0"/>
            <wp:docPr descr="Настройка маршрутизатора msk-donskaya-gw-1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Настройка маршрутизатора msk-donskaya-gw-1</w:t>
      </w:r>
    </w:p>
    <w:p>
      <w:pPr>
        <w:pStyle w:val="CaptionedFigure"/>
      </w:pPr>
      <w:bookmarkStart w:id="29" w:name="fig:002"/>
      <w:r>
        <w:drawing>
          <wp:inline>
            <wp:extent cx="5334000" cy="2621796"/>
            <wp:effectExtent b="0" l="0" r="0" t="0"/>
            <wp:docPr descr="Проверка состояния протокола OSPF на маршрутизаторе msk-donskaya-gw-1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Проверка состояния протокола OSPF на маршрутизаторе msk-donskaya-gw-1</w:t>
      </w:r>
    </w:p>
    <w:p>
      <w:pPr>
        <w:pStyle w:val="CaptionedFigure"/>
      </w:pPr>
      <w:bookmarkStart w:id="33" w:name="fig:003"/>
      <w:r>
        <w:drawing>
          <wp:inline>
            <wp:extent cx="5334000" cy="3505887"/>
            <wp:effectExtent b="0" l="0" r="0" t="0"/>
            <wp:docPr descr="Проверка состояния протокола OSPF на маршрутизаторе msk-donskaya-gw-1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Проверка состояния протокола OSPF на маршрутизаторе msk-donskaya-gw-1</w:t>
      </w:r>
    </w:p>
    <w:p>
      <w:pPr>
        <w:numPr>
          <w:ilvl w:val="0"/>
          <w:numId w:val="1003"/>
        </w:numPr>
        <w:pStyle w:val="Compact"/>
      </w:pPr>
      <w:r>
        <w:t xml:space="preserve">Настроила динамическую маршрутизацию по протоколу OSPF на маршрутизаторе msk-q42-gw-1.</w:t>
      </w:r>
    </w:p>
    <w:p>
      <w:pPr>
        <w:pStyle w:val="CaptionedFigure"/>
      </w:pPr>
      <w:bookmarkStart w:id="37" w:name="fig:004"/>
      <w:r>
        <w:drawing>
          <wp:inline>
            <wp:extent cx="5334000" cy="931962"/>
            <wp:effectExtent b="0" l="0" r="0" t="0"/>
            <wp:docPr descr="Настройка маршрутизатора msk-q42-gw-1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Настройка маршрутизатора msk-q42-gw-1</w:t>
      </w:r>
    </w:p>
    <w:p>
      <w:pPr>
        <w:numPr>
          <w:ilvl w:val="0"/>
          <w:numId w:val="1004"/>
        </w:numPr>
        <w:pStyle w:val="Compact"/>
      </w:pPr>
      <w:r>
        <w:t xml:space="preserve">Настроила динамическую маршрутизацию по протоколу OSPF на маршрутизаторе msk-hostel-gw-1.</w:t>
      </w:r>
    </w:p>
    <w:p>
      <w:pPr>
        <w:pStyle w:val="CaptionedFigure"/>
      </w:pPr>
      <w:bookmarkStart w:id="41" w:name="fig:005"/>
      <w:r>
        <w:drawing>
          <wp:inline>
            <wp:extent cx="5334000" cy="532734"/>
            <wp:effectExtent b="0" l="0" r="0" t="0"/>
            <wp:docPr descr="Настройка маршрутизирующего коммутатора msk-hostel-gw-1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Настройка маршрутизирующего коммутатора msk-hostel-gw-1</w:t>
      </w:r>
    </w:p>
    <w:p>
      <w:pPr>
        <w:numPr>
          <w:ilvl w:val="0"/>
          <w:numId w:val="1005"/>
        </w:numPr>
        <w:pStyle w:val="Compact"/>
      </w:pPr>
      <w:r>
        <w:t xml:space="preserve">Настроила динамическую маршрутизацию по протоколу OSPF на маршрутизаторе sch-sochi-gw-1.</w:t>
      </w:r>
    </w:p>
    <w:p>
      <w:pPr>
        <w:pStyle w:val="CaptionedFigure"/>
      </w:pPr>
      <w:bookmarkStart w:id="45" w:name="fig:006"/>
      <w:r>
        <w:drawing>
          <wp:inline>
            <wp:extent cx="5334000" cy="971027"/>
            <wp:effectExtent b="0" l="0" r="0" t="0"/>
            <wp:docPr descr="Настройка маршрутизатора sch-sochi-gw-1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Настройка маршрутизатора sch-sochi-gw-1</w:t>
      </w:r>
    </w:p>
    <w:p>
      <w:pPr>
        <w:numPr>
          <w:ilvl w:val="0"/>
          <w:numId w:val="1006"/>
        </w:numPr>
        <w:pStyle w:val="Compact"/>
      </w:pPr>
      <w:r>
        <w:t xml:space="preserve">Настроила связь сети квартала 42 в Москве с сетью филиала в г. Сочи напрямую.</w:t>
      </w:r>
    </w:p>
    <w:p>
      <w:pPr>
        <w:pStyle w:val="CaptionedFigure"/>
      </w:pPr>
      <w:bookmarkStart w:id="49" w:name="fig:007"/>
      <w:r>
        <w:drawing>
          <wp:inline>
            <wp:extent cx="5334000" cy="1389415"/>
            <wp:effectExtent b="0" l="0" r="0" t="0"/>
            <wp:docPr descr="Настройка интерфейсов коммутатора provider-sw-1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Настройка интерфейсов коммутатора provider-sw-1</w:t>
      </w:r>
    </w:p>
    <w:p>
      <w:pPr>
        <w:pStyle w:val="CaptionedFigure"/>
      </w:pPr>
      <w:bookmarkStart w:id="53" w:name="fig:008"/>
      <w:r>
        <w:drawing>
          <wp:inline>
            <wp:extent cx="5334000" cy="1375016"/>
            <wp:effectExtent b="0" l="0" r="0" t="0"/>
            <wp:docPr descr="Настройка маршрутизатора msk-q42-gw-1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Настройка маршрутизатора msk-q42-gw-1</w:t>
      </w:r>
    </w:p>
    <w:p>
      <w:pPr>
        <w:pStyle w:val="CaptionedFigure"/>
      </w:pPr>
      <w:bookmarkStart w:id="57" w:name="fig:009"/>
      <w:r>
        <w:drawing>
          <wp:inline>
            <wp:extent cx="5334000" cy="1494582"/>
            <wp:effectExtent b="0" l="0" r="0" t="0"/>
            <wp:docPr descr="Настройка коммутатора sch-sochi-sw-1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Настройка коммутатора sch-sochi-sw-1</w:t>
      </w:r>
    </w:p>
    <w:p>
      <w:pPr>
        <w:pStyle w:val="CaptionedFigure"/>
      </w:pPr>
      <w:bookmarkStart w:id="61" w:name="fig:010"/>
      <w:r>
        <w:drawing>
          <wp:inline>
            <wp:extent cx="5334000" cy="1911183"/>
            <wp:effectExtent b="0" l="0" r="0" t="0"/>
            <wp:docPr descr="Настройка маршрутизатора sch-sochi-gw-1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Настройка маршрутизатора sch-sochi-gw-1</w:t>
      </w:r>
    </w:p>
    <w:p>
      <w:pPr>
        <w:numPr>
          <w:ilvl w:val="0"/>
          <w:numId w:val="1007"/>
        </w:numPr>
        <w:pStyle w:val="Compact"/>
      </w:pPr>
      <w:r>
        <w:t xml:space="preserve">В режиме симуляции отследила движение пакета ICMP с ноутбука администратора сети на Донской в Москве до компьютера пользователя в филиале в г. Сочи pc-sochi-1. Пакет идет через коммутаторы и маршрутизатор на Донской, далее медиаконвертеры и коммутатор на территории провайдера, оттуда на коммутатор и маршрутизатор в Сочи.</w:t>
      </w:r>
    </w:p>
    <w:p>
      <w:pPr>
        <w:pStyle w:val="CaptionedFigure"/>
      </w:pPr>
      <w:bookmarkStart w:id="65" w:name="fig:011"/>
      <w:r>
        <w:drawing>
          <wp:inline>
            <wp:extent cx="5334000" cy="2172068"/>
            <wp:effectExtent b="0" l="0" r="0" t="0"/>
            <wp:docPr descr="Путь пакета ICMP с ноутбука администратора сети на Донской до компьютера пользователя г. Сочи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Путь пакета ICMP с ноутбука администратора сети на Донской до компьютера пользователя г. Сочи</w:t>
      </w:r>
    </w:p>
    <w:p>
      <w:pPr>
        <w:numPr>
          <w:ilvl w:val="0"/>
          <w:numId w:val="1008"/>
        </w:numPr>
        <w:pStyle w:val="Compact"/>
      </w:pPr>
      <w:r>
        <w:t xml:space="preserve">На коммутаторе провайдера отключила временно vlan 6 и в режиме симуляции убедилась в изменении маршрута прохождения пакета ICMP с ноутбука администратора сети на Донской в Москве до компьютера пользователя в филиале в г. Сочи pc-sochi-1. Пакет идет через коммутаторы и маршрутизатор на Донской, далее медиаконвертеры и коммутатор на территории провайдера, оттуда на маршрутизатор на территории 42 квартала, а потом на коммутатор и маршрутизатор в Сочи.</w:t>
      </w:r>
    </w:p>
    <w:p>
      <w:pPr>
        <w:pStyle w:val="CaptionedFigure"/>
      </w:pPr>
      <w:bookmarkStart w:id="69" w:name="fig:012"/>
      <w:r>
        <w:drawing>
          <wp:inline>
            <wp:extent cx="5334000" cy="749570"/>
            <wp:effectExtent b="0" l="0" r="0" t="0"/>
            <wp:docPr descr="Отключение vlan 6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Отключение vlan 6</w:t>
      </w:r>
    </w:p>
    <w:p>
      <w:pPr>
        <w:pStyle w:val="CaptionedFigure"/>
      </w:pPr>
      <w:bookmarkStart w:id="73" w:name="fig:013"/>
      <w:r>
        <w:drawing>
          <wp:inline>
            <wp:extent cx="5334000" cy="4384021"/>
            <wp:effectExtent b="0" l="0" r="0" t="0"/>
            <wp:docPr descr="Путь пакета ICMP с ноутбука администратора сети на Донской до компьютера пользователя г. Сочи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Путь пакета ICMP с ноутбука администратора сети на Донской до компьютера пользователя г. Сочи</w:t>
      </w:r>
    </w:p>
    <w:p>
      <w:pPr>
        <w:numPr>
          <w:ilvl w:val="0"/>
          <w:numId w:val="1009"/>
        </w:numPr>
        <w:pStyle w:val="Compact"/>
      </w:pPr>
      <w:r>
        <w:t xml:space="preserve">На коммутаторе провайдера восстановила vlan 6 и в режиме симуляции убедилась в изменении маршрута прохождения пакета ICMP с ноутбука администратора сети на Донской в Москве до компьютера пользователя в филиале в г. Сочи pc-sochi-1. Пакет идет так же, как при первой проверке.</w:t>
      </w:r>
    </w:p>
    <w:p>
      <w:pPr>
        <w:pStyle w:val="CaptionedFigure"/>
      </w:pPr>
      <w:bookmarkStart w:id="77" w:name="fig:014"/>
      <w:r>
        <w:drawing>
          <wp:inline>
            <wp:extent cx="5334000" cy="3761239"/>
            <wp:effectExtent b="0" l="0" r="0" t="0"/>
            <wp:docPr descr="Восстановление vlan 6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Восстановление vlan 6</w:t>
      </w:r>
    </w:p>
    <w:p>
      <w:pPr>
        <w:pStyle w:val="CaptionedFigure"/>
      </w:pPr>
      <w:bookmarkStart w:id="81" w:name="fig:015"/>
      <w:r>
        <w:drawing>
          <wp:inline>
            <wp:extent cx="5334000" cy="4819135"/>
            <wp:effectExtent b="0" l="0" r="0" t="0"/>
            <wp:docPr descr="Путь пакета ICMP с ноутбука администратора сети на Донской до компьютера пользователя г. Сочи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5/report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Путь пакета ICMP с ноутбука администратора сети на Донской до компьютера пользователя г. Сочи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настроила динамическую маршрутизацию между территориями организации.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Какие протоколы относятся к протоколам динамической маршрутизации?</w:t>
      </w:r>
    </w:p>
    <w:p>
      <w:pPr>
        <w:pStyle w:val="FirstParagraph"/>
      </w:pPr>
      <w:r>
        <w:t xml:space="preserve">RIP (протокол маршрутной информации)</w:t>
      </w:r>
      <w:r>
        <w:t xml:space="preserve"> </w:t>
      </w:r>
      <w:r>
        <w:t xml:space="preserve">OSPF (открыть кратчайший путь первым)</w:t>
      </w:r>
      <w:r>
        <w:t xml:space="preserve"> </w:t>
      </w:r>
      <w:r>
        <w:t xml:space="preserve">EIGRP (улучшенный протокол внутренней маршрутизации шлюза)</w:t>
      </w:r>
      <w:r>
        <w:t xml:space="preserve"> </w:t>
      </w:r>
      <w:r>
        <w:t xml:space="preserve">IS-IS (промежуточная система к промежуточной системе)</w:t>
      </w:r>
      <w:r>
        <w:t xml:space="preserve"> </w:t>
      </w:r>
      <w:r>
        <w:t xml:space="preserve">BGP (протокол пограничного шлюза)</w:t>
      </w:r>
    </w:p>
    <w:p>
      <w:pPr>
        <w:numPr>
          <w:ilvl w:val="0"/>
          <w:numId w:val="1011"/>
        </w:numPr>
        <w:pStyle w:val="Compact"/>
      </w:pPr>
      <w:r>
        <w:t xml:space="preserve">Охарактеризуйте принципы работы протоколов динамической маршрутизации.</w:t>
      </w:r>
    </w:p>
    <w:p>
      <w:pPr>
        <w:pStyle w:val="FirstParagraph"/>
      </w:pPr>
      <w:r>
        <w:t xml:space="preserve">После подключения маршрутизатора ищет непосредственно подключенных соседей и устанавливает с ними «дружеские» отношения.</w:t>
      </w:r>
    </w:p>
    <w:p>
      <w:pPr>
        <w:pStyle w:val="BodyText"/>
      </w:pPr>
      <w:r>
        <w:t xml:space="preserve">Затем они соединяются друг с другом с другими данными о подключенных и доступных сетях, то есть построена карта сети (топологию сети).</w:t>
      </w:r>
    </w:p>
    <w:p>
      <w:pPr>
        <w:pStyle w:val="BodyText"/>
      </w:pPr>
      <w:r>
        <w:t xml:space="preserve">На основе полученной информации запускается алгоритм SPF (Shortest Path First, «выбор наилучшего пути»), который рассчитывает маршрут для каждой сети.</w:t>
      </w:r>
    </w:p>
    <w:p>
      <w:pPr>
        <w:pStyle w:val="BodyText"/>
      </w:pPr>
      <w:r>
        <w:t xml:space="preserve">Данный процесс похож на построение дерева, корень которого сам по себе является маршрутом, а ветвями — пути к доступным сетям.</w:t>
      </w:r>
    </w:p>
    <w:p>
      <w:pPr>
        <w:numPr>
          <w:ilvl w:val="0"/>
          <w:numId w:val="1012"/>
        </w:numPr>
        <w:pStyle w:val="Compact"/>
      </w:pPr>
      <w:r>
        <w:t xml:space="preserve">Запишите процесс обращения устройства из одной подсети к устройству из другой подсети по протоколу динамической маршрутизации.</w:t>
      </w:r>
    </w:p>
    <w:p>
      <w:pPr>
        <w:pStyle w:val="FirstParagraph"/>
      </w:pPr>
      <w:r>
        <w:t xml:space="preserve">Когда устройство из одной подсети попробуйте связаться с устройством из другой подсети:</w:t>
      </w:r>
    </w:p>
    <w:p>
      <w:pPr>
        <w:pStyle w:val="BodyText"/>
      </w:pPr>
      <w:r>
        <w:t xml:space="preserve">Исходное наличие после этого таблицы маршрутов к целевому адресу назначения.</w:t>
      </w:r>
      <w:r>
        <w:t xml:space="preserve"> </w:t>
      </w:r>
      <w:r>
        <w:t xml:space="preserve">Если маршрут найден, сообщение отправляется по этому маршруту.</w:t>
      </w:r>
      <w:r>
        <w:t xml:space="preserve"> </w:t>
      </w:r>
      <w:r>
        <w:t xml:space="preserve">Если маршрут не найден, маршрутизатор использует протокол динамической маршрутизации для запроса и получения маршрута к целевому адресу.</w:t>
      </w:r>
      <w:r>
        <w:t xml:space="preserve"> </w:t>
      </w:r>
      <w:r>
        <w:t xml:space="preserve">После получения маршрута маршрутизатор обновляет свою таблицу маршрутизации и отправляет сообщение по полученному маршруту.</w:t>
      </w:r>
    </w:p>
    <w:p>
      <w:pPr>
        <w:numPr>
          <w:ilvl w:val="0"/>
          <w:numId w:val="1013"/>
        </w:numPr>
        <w:pStyle w:val="Compact"/>
      </w:pPr>
      <w:r>
        <w:t xml:space="preserve">Опишите выводимую информацию при просмотре таблиц маршрутизации.</w:t>
      </w:r>
    </w:p>
    <w:p>
      <w:pPr>
        <w:pStyle w:val="FirstParagraph"/>
      </w:pPr>
      <w:r>
        <w:t xml:space="preserve">При просмотре таблицы маршрутизации отображается следующая информация:</w:t>
      </w:r>
    </w:p>
    <w:p>
      <w:pPr>
        <w:pStyle w:val="BodyText"/>
      </w:pPr>
      <w:r>
        <w:t xml:space="preserve">Адрес сети или узла назначения.</w:t>
      </w:r>
    </w:p>
    <w:p>
      <w:pPr>
        <w:pStyle w:val="BodyText"/>
      </w:pPr>
      <w:r>
        <w:t xml:space="preserve">Назначение маски сети.</w:t>
      </w:r>
    </w:p>
    <w:p>
      <w:pPr>
        <w:pStyle w:val="BodyText"/>
      </w:pPr>
      <w:r>
        <w:t xml:space="preserve">Шлюз — адрес маршрутизатора в сети, по которому необходимо отправить пакет.</w:t>
      </w:r>
    </w:p>
    <w:p>
      <w:pPr>
        <w:pStyle w:val="BodyText"/>
      </w:pPr>
      <w:r>
        <w:t xml:space="preserve">Интерфейс, через который доступен шлюз.</w:t>
      </w:r>
    </w:p>
    <w:p>
      <w:pPr>
        <w:pStyle w:val="BodyText"/>
      </w:pPr>
      <w:r>
        <w:t xml:space="preserve">Метрику — числовой показатель, задающий надежность маршрута.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№15</dc:title>
  <dc:creator>Лобанова Полина Иннокентьевна</dc:creator>
  <dc:language>ru-RU</dc:language>
  <cp:keywords/>
  <dcterms:created xsi:type="dcterms:W3CDTF">2025-05-13T08:30:59Z</dcterms:created>
  <dcterms:modified xsi:type="dcterms:W3CDTF">2025-05-13T08:30:59Z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