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статическую маршрутизацию VLAN в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Добавить в локальную сеть маршрутизатор, провести его первоначальную настройку.</w:t>
      </w:r>
    </w:p>
    <w:p>
      <w:pPr>
        <w:numPr>
          <w:ilvl w:val="0"/>
          <w:numId w:val="1001"/>
        </w:numPr>
      </w:pPr>
      <w:r>
        <w:t xml:space="preserve">Настроить статическую маршрутизацию VLAN.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логической области проекта разместила маршрутизатор Cisco 2811, подключила его к порту 24 коммутатора msk-donskaya-pilobanova-sw-1.</w:t>
      </w:r>
    </w:p>
    <w:p>
      <w:pPr>
        <w:pStyle w:val="CaptionedFigure"/>
      </w:pPr>
      <w:bookmarkStart w:id="25" w:name="fig:001"/>
      <w:r>
        <w:drawing>
          <wp:inline>
            <wp:extent cx="5334000" cy="3379761"/>
            <wp:effectExtent b="0" l="0" r="0" t="0"/>
            <wp:docPr descr="Схема сети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6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Схема сети</w:t>
      </w:r>
    </w:p>
    <w:p>
      <w:pPr>
        <w:numPr>
          <w:ilvl w:val="0"/>
          <w:numId w:val="1003"/>
        </w:numPr>
        <w:pStyle w:val="Compact"/>
      </w:pPr>
      <w:r>
        <w:t xml:space="preserve">Сконфигурировала маршрутизатор, задав на нём имя, пароль для доступа к консоли, настроила удалённое подключение к нему по ssh.</w:t>
      </w:r>
    </w:p>
    <w:p>
      <w:pPr>
        <w:pStyle w:val="CaptionedFigure"/>
      </w:pPr>
      <w:bookmarkStart w:id="29" w:name="fig:002"/>
      <w:r>
        <w:drawing>
          <wp:inline>
            <wp:extent cx="5334000" cy="4382184"/>
            <wp:effectExtent b="0" l="0" r="0" t="0"/>
            <wp:docPr descr="Начальная настройка маршрутизатора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6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Начальная настройка маршрутизатора</w:t>
      </w:r>
    </w:p>
    <w:p>
      <w:pPr>
        <w:numPr>
          <w:ilvl w:val="0"/>
          <w:numId w:val="1004"/>
        </w:numPr>
        <w:pStyle w:val="Compact"/>
      </w:pPr>
      <w:r>
        <w:t xml:space="preserve">Настроила порт 24 коммутатора msk-donskaya-pilobanova-sw-1 как trunk-порт.</w:t>
      </w:r>
    </w:p>
    <w:p>
      <w:pPr>
        <w:pStyle w:val="CaptionedFigure"/>
      </w:pPr>
      <w:bookmarkStart w:id="33" w:name="fig:003"/>
      <w:r>
        <w:drawing>
          <wp:inline>
            <wp:extent cx="5334000" cy="1143000"/>
            <wp:effectExtent b="0" l="0" r="0" t="0"/>
            <wp:docPr descr="Настройка порта на коммутаторе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6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Настройка порта на коммутаторе</w:t>
      </w:r>
    </w:p>
    <w:p>
      <w:pPr>
        <w:numPr>
          <w:ilvl w:val="0"/>
          <w:numId w:val="1005"/>
        </w:numPr>
        <w:pStyle w:val="Compact"/>
      </w:pPr>
      <w:r>
        <w:t xml:space="preserve">На интерфейсе f0/0 маршрутизатора msk-donskaya-pilobanova-gw-1 настроила виртуальные интерфейсы, соответствующие номерам VLAN. Согласно таблице IP-адресов задала соответствующие IP-адреса на виртуальных интерфейсах.</w:t>
      </w:r>
    </w:p>
    <w:p>
      <w:pPr>
        <w:pStyle w:val="CaptionedFigure"/>
      </w:pPr>
      <w:bookmarkStart w:id="37" w:name="fig:004"/>
      <w:r>
        <w:drawing>
          <wp:inline>
            <wp:extent cx="5334000" cy="3400829"/>
            <wp:effectExtent b="0" l="0" r="0" t="0"/>
            <wp:docPr descr="Настройка интерфейсов маршрутизатора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6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Настройка интерфейсов маршрутизатора</w:t>
      </w:r>
    </w:p>
    <w:p>
      <w:pPr>
        <w:numPr>
          <w:ilvl w:val="0"/>
          <w:numId w:val="1006"/>
        </w:numPr>
        <w:pStyle w:val="Compact"/>
      </w:pPr>
      <w:r>
        <w:t xml:space="preserve">Проверила доступность оконечных устройств из разных VLAN. Сначала пропинговала dk-pavlovskaya-pilobanova-1 с dk-donskaya-pilobanova-1 (одна vlan). Далее пропинговала dk-pavlovskaya-pilobanova-1 с other-donskaya-pilobanova-1 (разные vlan)..</w:t>
      </w:r>
    </w:p>
    <w:p>
      <w:pPr>
        <w:pStyle w:val="CaptionedFigure"/>
      </w:pPr>
      <w:bookmarkStart w:id="41" w:name="fig:005"/>
      <w:r>
        <w:drawing>
          <wp:inline>
            <wp:extent cx="5334000" cy="2308746"/>
            <wp:effectExtent b="0" l="0" r="0" t="0"/>
            <wp:docPr descr="Команда ping для одной vlan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6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8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Команда ping для одной vlan</w:t>
      </w:r>
    </w:p>
    <w:p>
      <w:pPr>
        <w:pStyle w:val="CaptionedFigure"/>
      </w:pPr>
      <w:bookmarkStart w:id="45" w:name="fig:006"/>
      <w:r>
        <w:drawing>
          <wp:inline>
            <wp:extent cx="5334000" cy="3694176"/>
            <wp:effectExtent b="0" l="0" r="0" t="0"/>
            <wp:docPr descr="Команда ping для разных vlan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6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4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Команда ping для разных vlan</w:t>
      </w:r>
    </w:p>
    <w:p>
      <w:pPr>
        <w:numPr>
          <w:ilvl w:val="0"/>
          <w:numId w:val="1007"/>
        </w:numPr>
        <w:pStyle w:val="Compact"/>
      </w:pPr>
      <w:r>
        <w:t xml:space="preserve">Используя режим симуляции в Packet Tracer, изучила процесс передвижения пакета ICMP по сети.</w:t>
      </w:r>
    </w:p>
    <w:p>
      <w:pPr>
        <w:pStyle w:val="CaptionedFigure"/>
      </w:pPr>
      <w:bookmarkStart w:id="49" w:name="fig:007"/>
      <w:r>
        <w:drawing>
          <wp:inline>
            <wp:extent cx="5334000" cy="3000375"/>
            <wp:effectExtent b="0" l="0" r="0" t="0"/>
            <wp:docPr descr="Передвижение пакета ICMP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6/report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Передвижение пакета ICMP</w:t>
      </w:r>
    </w:p>
    <w:p>
      <w:pPr>
        <w:numPr>
          <w:ilvl w:val="0"/>
          <w:numId w:val="1008"/>
        </w:numPr>
        <w:pStyle w:val="Compact"/>
      </w:pPr>
      <w:r>
        <w:t xml:space="preserve">Изучила содержимое передаваемого пакета и заголовки задействованных протоколов.</w:t>
      </w:r>
    </w:p>
    <w:p>
      <w:pPr>
        <w:pStyle w:val="CaptionedFigure"/>
      </w:pPr>
      <w:bookmarkStart w:id="53" w:name="fig:008"/>
      <w:r>
        <w:drawing>
          <wp:inline>
            <wp:extent cx="5334000" cy="5140695"/>
            <wp:effectExtent b="0" l="0" r="0" t="0"/>
            <wp:docPr descr="Содержимое передаваемого пакета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6/report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0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Содержимое передаваемого пакета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настроила статическую маршрутизацию VLAN в сети.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Охарактеризуйте стандарт IEEE 802.1Q.</w:t>
      </w:r>
    </w:p>
    <w:p>
      <w:pPr>
        <w:pStyle w:val="FirstParagraph"/>
      </w:pPr>
      <w:r>
        <w:t xml:space="preserve">Стандарт IEEE 802.1Q определяет механизм VLAN tagging (метки VLAN) в локальных сетях Ethernet. Он позволяет разделить одну физическую сеть на множество логических сетей (VLAN), изолируя трафик между ними. Это обеспечивает гибкость, безопасность и улучшенное управление сетью. Ключевые особенности:</w:t>
      </w:r>
    </w:p>
    <w:p>
      <w:pPr>
        <w:pStyle w:val="BodyText"/>
      </w:pPr>
      <w:r>
        <w:t xml:space="preserve">Внедрение VLAN: 802.1Q добавляет тег к существующим Ethernet кадрам, который идентифицирует VLAN, к которому принадлежит кадр. Это позволяет маршрутизаторам и коммутаторам обрабатывать трафик на основе VLAN, направляя его только в предназначенные VLAN.</w:t>
      </w:r>
      <w:r>
        <w:t xml:space="preserve"> </w:t>
      </w:r>
      <w:r>
        <w:t xml:space="preserve">Совместимость: Стандарт разработан для обеспечения совместимости с существующими Ethernet сетями. Устройства, не поддерживающие 802.1Q, могут обрабатывать помеченные кадры, игнорируя тег.</w:t>
      </w:r>
      <w:r>
        <w:t xml:space="preserve"> </w:t>
      </w:r>
      <w:r>
        <w:t xml:space="preserve">Инкапсуляция: Процесс добавления тега происходит путем инкапсуляции оригинального Ethernet кадра внутри нового кадра 802.1Q.</w:t>
      </w:r>
      <w:r>
        <w:t xml:space="preserve"> </w:t>
      </w:r>
      <w:r>
        <w:t xml:space="preserve">Маршрутизация VLAN: Позволяет маршрутизировать трафик между VLAN, используя маршрутизаторы или межсетевые экраны.</w:t>
      </w:r>
      <w:r>
        <w:t xml:space="preserve"> </w:t>
      </w:r>
      <w:r>
        <w:t xml:space="preserve">Улучшение безопасности: Изоляция VLAN повышает безопасность сети, предотвращая несанкционированный доступ к данным.</w:t>
      </w:r>
      <w:r>
        <w:t xml:space="preserve"> </w:t>
      </w:r>
      <w:r>
        <w:t xml:space="preserve">Улучшение производительности: Разделение сети на VLAN может улучшить производительность, снижая сетевую загрузку.</w:t>
      </w:r>
    </w:p>
    <w:p>
      <w:pPr>
        <w:numPr>
          <w:ilvl w:val="0"/>
          <w:numId w:val="1010"/>
        </w:numPr>
        <w:pStyle w:val="Compact"/>
      </w:pPr>
      <w:r>
        <w:t xml:space="preserve">Опишите формат кадра IEEE 802.1Q.</w:t>
      </w:r>
    </w:p>
    <w:p>
      <w:pPr>
        <w:pStyle w:val="FirstParagraph"/>
      </w:pPr>
      <w:r>
        <w:t xml:space="preserve">Кадр 802.1Q состоит из оригинального Ethernet кадра,</w:t>
      </w:r>
      <w:r>
        <w:t xml:space="preserve"> </w:t>
      </w:r>
      <w:r>
        <w:t xml:space="preserve">“</w:t>
      </w:r>
      <w:r>
        <w:t xml:space="preserve">обернутого</w:t>
      </w:r>
      <w:r>
        <w:t xml:space="preserve">”</w:t>
      </w:r>
      <w:r>
        <w:t xml:space="preserve"> </w:t>
      </w:r>
      <w:r>
        <w:t xml:space="preserve">в тег 802.1Q. Это расширяет размер оригинального Ethernet кадра. Структура выглядит следующим образом:</w:t>
      </w:r>
    </w:p>
    <w:p>
      <w:pPr>
        <w:numPr>
          <w:ilvl w:val="0"/>
          <w:numId w:val="1011"/>
        </w:numPr>
        <w:pStyle w:val="Compact"/>
      </w:pPr>
      <w:r>
        <w:t xml:space="preserve">Preamble (Преамбула): 7 байт, используется для синхронизации приемника. Остается неизменным.</w:t>
      </w:r>
    </w:p>
    <w:p>
      <w:pPr>
        <w:numPr>
          <w:ilvl w:val="0"/>
          <w:numId w:val="1011"/>
        </w:numPr>
        <w:pStyle w:val="Compact"/>
      </w:pPr>
      <w:r>
        <w:t xml:space="preserve">Start Frame Delimiter (SFD): 1 байт, указывает начало кадра. Остается неизменным.</w:t>
      </w:r>
    </w:p>
    <w:p>
      <w:pPr>
        <w:numPr>
          <w:ilvl w:val="0"/>
          <w:numId w:val="1011"/>
        </w:numPr>
        <w:pStyle w:val="Compact"/>
      </w:pPr>
      <w:r>
        <w:t xml:space="preserve">Ethernet Header (Заголовок Ethernet): 14 байт, включая:</w:t>
      </w:r>
      <w:r>
        <w:t xml:space="preserve"> </w:t>
      </w:r>
      <w:r>
        <w:t xml:space="preserve">Destination MAC Address (MAC-адрес получателя): 6 байт.</w:t>
      </w:r>
      <w:r>
        <w:t xml:space="preserve"> </w:t>
      </w:r>
      <w:r>
        <w:t xml:space="preserve">Source MAC Address (MAC-адрес отправителя): 6 байт.</w:t>
      </w:r>
      <w:r>
        <w:t xml:space="preserve"> </w:t>
      </w:r>
      <w:r>
        <w:t xml:space="preserve">Ethernet Type (Тип Ethernet): 2 байта. В оригинальном кадре это поле указывает на тип протокола верхнего уровня (например, IP, ARP). В 802.1Q оно заменяется тегом.</w:t>
      </w:r>
    </w:p>
    <w:p>
      <w:pPr>
        <w:numPr>
          <w:ilvl w:val="0"/>
          <w:numId w:val="1011"/>
        </w:numPr>
        <w:pStyle w:val="Compact"/>
      </w:pPr>
      <w:r>
        <w:t xml:space="preserve">802.1Q Tag (Тег 802.1Q): 4 байта, добавляется стандартом 802.1Q. Состоит из:</w:t>
      </w:r>
      <w:r>
        <w:t xml:space="preserve"> </w:t>
      </w:r>
      <w:r>
        <w:t xml:space="preserve">TPID (Tag Protocol Identifier): 2 байта, идентификатор протокола тега. Обычно имеет значение 0x8100. Этот идентификатор показывает, что следует тег 802.1Q.</w:t>
      </w:r>
      <w:r>
        <w:t xml:space="preserve"> </w:t>
      </w:r>
      <w:r>
        <w:t xml:space="preserve">TCI (Tag Control Information): 2 байта, содержит информацию о VLAN:</w:t>
      </w:r>
      <w:r>
        <w:t xml:space="preserve"> </w:t>
      </w:r>
      <w:r>
        <w:t xml:space="preserve">PCP (Priority Code Point): 3 бита, приоритет кадра (QoS).</w:t>
      </w:r>
      <w:r>
        <w:t xml:space="preserve"> </w:t>
      </w:r>
      <w:r>
        <w:t xml:space="preserve">CFI (Canonical Format Indicator): 1 бит, указывает на формат кадра (обычно 0).</w:t>
      </w:r>
      <w:r>
        <w:t xml:space="preserve"> </w:t>
      </w:r>
      <w:r>
        <w:t xml:space="preserve">VID (VLAN ID): 12 бит, идентификатор VLAN (от 0 до 4095).</w:t>
      </w:r>
    </w:p>
    <w:p>
      <w:pPr>
        <w:numPr>
          <w:ilvl w:val="0"/>
          <w:numId w:val="1011"/>
        </w:numPr>
        <w:pStyle w:val="Compact"/>
      </w:pPr>
      <w:r>
        <w:t xml:space="preserve">Ethernet Payload (Полезная нагрузка Ethernet): Переменная длина, данные, которые передаются.</w:t>
      </w:r>
    </w:p>
    <w:p>
      <w:pPr>
        <w:numPr>
          <w:ilvl w:val="0"/>
          <w:numId w:val="1011"/>
        </w:numPr>
        <w:pStyle w:val="Compact"/>
      </w:pPr>
      <w:r>
        <w:t xml:space="preserve">Ethernet Frame Check Sequence (FCS): 4 байта, контрольная сумма, обеспечивающая целостность данных.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Лобанова Полина Иннокентьевна</dc:creator>
  <dc:language>ru-RU</dc:language>
  <cp:keywords/>
  <dcterms:created xsi:type="dcterms:W3CDTF">2025-03-14T20:56:30Z</dcterms:created>
  <dcterms:modified xsi:type="dcterms:W3CDTF">2025-03-14T20:56:30Z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Администрирование локальных сетей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