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физической рабочей областью Packet Tracer, а также учесть физические параметры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заменить соединение между коммутаторами двух территорий msk-donskaya-sw-1 и msk-pavlovskaya-sw-1 на соединение, учитывающее физические параметры сети, а именно — расстояние между двумя территориями.</w:t>
      </w:r>
      <w:r>
        <w:t xml:space="preserve"> </w:t>
      </w:r>
      <w:r>
        <w:t xml:space="preserve">При выполнении работы необходимо учитывать соглашение об именовании.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проект предыдущей лабораторной работы. Перешла в физическую рабочую область Packet Tracer. Присвоила название городу — Moscow.</w:t>
      </w:r>
    </w:p>
    <w:p>
      <w:pPr>
        <w:pStyle w:val="CaptionedFigure"/>
      </w:pPr>
      <w:bookmarkStart w:id="25" w:name="fig:001"/>
      <w:r>
        <w:drawing>
          <wp:inline>
            <wp:extent cx="5334000" cy="4179502"/>
            <wp:effectExtent b="0" l="0" r="0" t="0"/>
            <wp:docPr descr="Физическая рабочая область Packet Tracer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7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Физическая рабочая область Packet Tracer</w:t>
      </w:r>
    </w:p>
    <w:p>
      <w:pPr>
        <w:numPr>
          <w:ilvl w:val="0"/>
          <w:numId w:val="1002"/>
        </w:numPr>
        <w:pStyle w:val="Compact"/>
      </w:pPr>
      <w:r>
        <w:t xml:space="preserve">Щёлкнув на изображении города, увидела изображение здания. Присвоила ему название Donskaya. Добавила здание для территории Pavlovskaya.</w:t>
      </w:r>
    </w:p>
    <w:p>
      <w:pPr>
        <w:pStyle w:val="CaptionedFigure"/>
      </w:pPr>
      <w:bookmarkStart w:id="29" w:name="fig:002"/>
      <w:r>
        <w:drawing>
          <wp:inline>
            <wp:extent cx="5334000" cy="1738809"/>
            <wp:effectExtent b="0" l="0" r="0" t="0"/>
            <wp:docPr descr="Изображение зданий в физической рабочей области Packet Tracer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7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Изображение зданий в физической рабочей области Packet Tracer</w:t>
      </w:r>
    </w:p>
    <w:p>
      <w:pPr>
        <w:numPr>
          <w:ilvl w:val="0"/>
          <w:numId w:val="1003"/>
        </w:numPr>
        <w:pStyle w:val="Compact"/>
      </w:pPr>
      <w:r>
        <w:t xml:space="preserve">Щёлкнув на изображении здания Donskaya, переместила изображение, обозначающее серверное помещение, в него.</w:t>
      </w:r>
    </w:p>
    <w:p>
      <w:pPr>
        <w:pStyle w:val="CaptionedFigure"/>
      </w:pPr>
      <w:bookmarkStart w:id="33" w:name="fig:003"/>
      <w:r>
        <w:drawing>
          <wp:inline>
            <wp:extent cx="5334000" cy="2886635"/>
            <wp:effectExtent b="0" l="0" r="0" t="0"/>
            <wp:docPr descr="Размещение в физической рабочей области Packet Tracer серверной с подключением оконечных устройств (сеть территории «Донская»)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7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Размещение в физической рабочей области Packet Tracer серверной с подключением оконечных устройств (сеть территории «Донская»)</w:t>
      </w:r>
    </w:p>
    <w:p>
      <w:pPr>
        <w:numPr>
          <w:ilvl w:val="0"/>
          <w:numId w:val="1004"/>
        </w:numPr>
        <w:pStyle w:val="Compact"/>
      </w:pPr>
      <w:r>
        <w:t xml:space="preserve">Щёлкнув на изображении серверной, увидела отображение серверных стоек.</w:t>
      </w:r>
    </w:p>
    <w:p>
      <w:pPr>
        <w:pStyle w:val="CaptionedFigure"/>
      </w:pPr>
      <w:bookmarkStart w:id="37" w:name="fig:004"/>
      <w:r>
        <w:drawing>
          <wp:inline>
            <wp:extent cx="4395267" cy="5786077"/>
            <wp:effectExtent b="0" l="0" r="0" t="0"/>
            <wp:docPr descr="Отображение серверных стоек в Packet Tracer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7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5786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Отображение серверных стоек в Packet Tracer</w:t>
      </w:r>
    </w:p>
    <w:p>
      <w:pPr>
        <w:numPr>
          <w:ilvl w:val="0"/>
          <w:numId w:val="1005"/>
        </w:numPr>
        <w:pStyle w:val="Compact"/>
      </w:pPr>
      <w:r>
        <w:t xml:space="preserve">Переместила коммутатор msk-pavlovskaya-sw-1 и два оконечных устройства dk-pavlovskaya-1 и other-pavlovskaya-1 на территорию Pavlovskaya.</w:t>
      </w:r>
    </w:p>
    <w:p>
      <w:pPr>
        <w:pStyle w:val="CaptionedFigure"/>
      </w:pPr>
      <w:bookmarkStart w:id="41" w:name="fig:005"/>
      <w:r>
        <w:drawing>
          <wp:inline>
            <wp:extent cx="5334000" cy="2496919"/>
            <wp:effectExtent b="0" l="0" r="0" t="0"/>
            <wp:docPr descr="Размещение в физической рабочей области Packet Tracer серверной с подключением оконечных устройств (сеть территории «Павловская»)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7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Размещение в физической рабочей области Packet Tracer серверной с подключением оконечных устройств (сеть территории «Павловская»)</w:t>
      </w:r>
    </w:p>
    <w:p>
      <w:pPr>
        <w:numPr>
          <w:ilvl w:val="0"/>
          <w:numId w:val="1006"/>
        </w:numPr>
        <w:pStyle w:val="Compact"/>
      </w:pPr>
      <w:r>
        <w:t xml:space="preserve">Вернувшись в логическую рабочую область Packet Tracer, пропинговала с коммутатора msk-donskaya-sw-1 коммутатор msk-pavlovskaya-sw-1. Убедилась в работоспособности соединения.</w:t>
      </w:r>
    </w:p>
    <w:p>
      <w:pPr>
        <w:pStyle w:val="CaptionedFigure"/>
      </w:pPr>
      <w:bookmarkStart w:id="45" w:name="fig:006"/>
      <w:r>
        <w:drawing>
          <wp:inline>
            <wp:extent cx="5334000" cy="741947"/>
            <wp:effectExtent b="0" l="0" r="0" t="0"/>
            <wp:docPr descr="Пингование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7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Пингование</w:t>
      </w:r>
    </w:p>
    <w:p>
      <w:pPr>
        <w:numPr>
          <w:ilvl w:val="0"/>
          <w:numId w:val="1007"/>
        </w:numPr>
        <w:pStyle w:val="Compact"/>
      </w:pPr>
      <w:r>
        <w:t xml:space="preserve">В меню Options , Preferences во вкладке Interface активировала разрешение на учёт физических характеристик среды передачи (Enable Cable Length Effects).</w:t>
      </w:r>
    </w:p>
    <w:p>
      <w:pPr>
        <w:pStyle w:val="CaptionedFigure"/>
      </w:pPr>
      <w:bookmarkStart w:id="49" w:name="fig:007"/>
      <w:r>
        <w:drawing>
          <wp:inline>
            <wp:extent cx="5334000" cy="1684146"/>
            <wp:effectExtent b="0" l="0" r="0" t="0"/>
            <wp:docPr descr="Активирование разрешения на учет физических характеристик среды передачи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7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Активирование разрешения на учет физических характеристик среды передачи</w:t>
      </w:r>
    </w:p>
    <w:p>
      <w:pPr>
        <w:numPr>
          <w:ilvl w:val="0"/>
          <w:numId w:val="1008"/>
        </w:numPr>
        <w:pStyle w:val="Compact"/>
      </w:pPr>
      <w:r>
        <w:t xml:space="preserve">В физической рабочей области Packet Tracer разместила две территории на расстоянии более 100 м друг от друга (рекомендуемое расстояние — около 1000 м или более).</w:t>
      </w:r>
    </w:p>
    <w:p>
      <w:pPr>
        <w:pStyle w:val="CaptionedFigure"/>
      </w:pPr>
      <w:bookmarkStart w:id="53" w:name="fig:008"/>
      <w:r>
        <w:drawing>
          <wp:inline>
            <wp:extent cx="5163670" cy="706931"/>
            <wp:effectExtent b="0" l="0" r="0" t="0"/>
            <wp:docPr descr="Расстояние между двумя территориями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7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Расстояние между двумя территориями</w:t>
      </w:r>
    </w:p>
    <w:p>
      <w:pPr>
        <w:numPr>
          <w:ilvl w:val="0"/>
          <w:numId w:val="1009"/>
        </w:numPr>
        <w:pStyle w:val="Compact"/>
      </w:pPr>
      <w:r>
        <w:t xml:space="preserve">Вернувшись в логическую рабочую область Packet Tracer, пропинговала с коммутатора msk-donskaya-sw-1 коммутатор msk-pavlovskaya-sw-1. Убедилась в неработоспособности соединения.</w:t>
      </w:r>
    </w:p>
    <w:p>
      <w:pPr>
        <w:pStyle w:val="CaptionedFigure"/>
      </w:pPr>
      <w:bookmarkStart w:id="57" w:name="fig:009"/>
      <w:r>
        <w:drawing>
          <wp:inline>
            <wp:extent cx="4687260" cy="791455"/>
            <wp:effectExtent b="0" l="0" r="0" t="0"/>
            <wp:docPr descr="Пингование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7/report/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Пингование</w:t>
      </w:r>
    </w:p>
    <w:p>
      <w:pPr>
        <w:numPr>
          <w:ilvl w:val="0"/>
          <w:numId w:val="1010"/>
        </w:numPr>
        <w:pStyle w:val="Compact"/>
      </w:pPr>
      <w:r>
        <w:t xml:space="preserve">Удалила соединение между msk-donskaya-sw-1 и msk-pavlovskaya-sw-1. Добавила в логическую рабочую область два повторителя (RepeaterPT). Присвоила им соответствующие названия. Заменила имеющиеся модули на PT-REPEATERNM-1FFE и PT-REPEATER-NM-1CFE для подключения оптоволокна и витой пары по технологии Fast Ethernet.</w:t>
      </w:r>
    </w:p>
    <w:p>
      <w:pPr>
        <w:pStyle w:val="CaptionedFigure"/>
      </w:pPr>
      <w:bookmarkStart w:id="61" w:name="fig:010"/>
      <w:r>
        <w:drawing>
          <wp:inline>
            <wp:extent cx="5334000" cy="3581400"/>
            <wp:effectExtent b="0" l="0" r="0" t="0"/>
            <wp:docPr descr="Схема сети с повторителями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7/report/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Схема сети с повторителями</w:t>
      </w:r>
    </w:p>
    <w:p>
      <w:pPr>
        <w:pStyle w:val="CaptionedFigure"/>
      </w:pPr>
      <w:bookmarkStart w:id="65" w:name="fig:011"/>
      <w:r>
        <w:drawing>
          <wp:inline>
            <wp:extent cx="4379899" cy="2051636"/>
            <wp:effectExtent b="0" l="0" r="0" t="0"/>
            <wp:docPr descr="Повторитель с портами PT-REPEATER-NM-1FFE и PT-REPEATER-NM-1CFE на территории Донская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7/report/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99" cy="205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Повторитель с портами PT-REPEATER-NM-1FFE и PT-REPEATER-NM-1CFE на территории Донская</w:t>
      </w:r>
    </w:p>
    <w:p>
      <w:pPr>
        <w:pStyle w:val="CaptionedFigure"/>
      </w:pPr>
      <w:bookmarkStart w:id="69" w:name="fig:012"/>
      <w:r>
        <w:drawing>
          <wp:inline>
            <wp:extent cx="4733364" cy="2159213"/>
            <wp:effectExtent b="0" l="0" r="0" t="0"/>
            <wp:docPr descr="Повторитель с портами PT-REPEATER-NM-1FFE и PT-REPEATER-NM-1CFE на территории Павловская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7/report/image/13.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215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Повторитель с портами PT-REPEATER-NM-1FFE и PT-REPEATER-NM-1CFE на территории Павловская</w:t>
      </w:r>
    </w:p>
    <w:p>
      <w:pPr>
        <w:numPr>
          <w:ilvl w:val="0"/>
          <w:numId w:val="1011"/>
        </w:numPr>
        <w:pStyle w:val="Compact"/>
      </w:pPr>
      <w:r>
        <w:t xml:space="preserve">Переместила msk-pavlovskaya-mc-1 на территорию Pavlovskaya (в физической рабочей области Packet Tracer).</w:t>
      </w:r>
    </w:p>
    <w:p>
      <w:pPr>
        <w:pStyle w:val="CaptionedFigure"/>
      </w:pPr>
      <w:bookmarkStart w:id="73" w:name="fig:013"/>
      <w:r>
        <w:drawing>
          <wp:inline>
            <wp:extent cx="5232826" cy="1805747"/>
            <wp:effectExtent b="0" l="0" r="0" t="0"/>
            <wp:docPr descr="Размещение в физической рабочей области Packet Tracer серверной с подключением оконечных устройств (сеть территории «Павловская»)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7/report/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180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Размещение в физической рабочей области Packet Tracer серверной с подключением оконечных устройств (сеть территории «Павловская»)</w:t>
      </w:r>
    </w:p>
    <w:p>
      <w:pPr>
        <w:numPr>
          <w:ilvl w:val="0"/>
          <w:numId w:val="1012"/>
        </w:numPr>
        <w:pStyle w:val="Compact"/>
      </w:pPr>
      <w:r>
        <w:t xml:space="preserve">Подключила коммутатор msk-donskaya-sw-1 к msk-donskaya-mc-1 по витой паре, msk-donskaya-mc-1 и msk-pavlovskaya-mc-1 — по оптоволокну, msk-pavlovskaya-sw-1 к msk-pavlovskaya-mc-1 — по витой паре.</w:t>
      </w:r>
    </w:p>
    <w:p>
      <w:pPr>
        <w:pStyle w:val="CaptionedFigure"/>
      </w:pPr>
      <w:bookmarkStart w:id="77" w:name="fig:014"/>
      <w:r>
        <w:drawing>
          <wp:inline>
            <wp:extent cx="5334000" cy="3500437"/>
            <wp:effectExtent b="0" l="0" r="0" t="0"/>
            <wp:docPr descr="Схема сети с учётом физических параметров сети в логической рабочей области Packet Tracer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7/report/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Схема сети с учётом физических параметров сети в логической рабочей области Packet Tracer</w:t>
      </w:r>
    </w:p>
    <w:p>
      <w:pPr>
        <w:numPr>
          <w:ilvl w:val="0"/>
          <w:numId w:val="1013"/>
        </w:numPr>
        <w:pStyle w:val="Compact"/>
      </w:pPr>
      <w:r>
        <w:t xml:space="preserve">Убедилась в работоспособности соединения между msk-donskaya-sw-1 и msk-pavlovskaya-sw-1, пропинговав.</w:t>
      </w:r>
    </w:p>
    <w:p>
      <w:pPr>
        <w:pStyle w:val="CaptionedFigure"/>
      </w:pPr>
      <w:bookmarkStart w:id="81" w:name="fig:015"/>
      <w:r>
        <w:drawing>
          <wp:inline>
            <wp:extent cx="4456739" cy="822191"/>
            <wp:effectExtent b="0" l="0" r="0" t="0"/>
            <wp:docPr descr="Пингование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7/report/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Пингование</w:t>
      </w:r>
    </w:p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Перечислите возможные среды передачи данных. На какие характеристики среды передачи данных следует обращать внимание при планировании сети?</w:t>
      </w:r>
    </w:p>
    <w:p>
      <w:pPr>
        <w:pStyle w:val="FirstParagraph"/>
      </w:pPr>
      <w:r>
        <w:t xml:space="preserve">Среды передачи данных можно разделить на проводные и беспроводные:</w:t>
      </w:r>
    </w:p>
    <w:p>
      <w:pPr>
        <w:pStyle w:val="BodyText"/>
      </w:pPr>
      <w:r>
        <w:t xml:space="preserve">Проводные:</w:t>
      </w:r>
    </w:p>
    <w:p>
      <w:pPr>
        <w:pStyle w:val="BodyText"/>
      </w:pPr>
      <w:r>
        <w:t xml:space="preserve">Витая пара: Медный кабель, состоящий из двух или более изолированных проводников, скрученных вместе для уменьшения помех.</w:t>
      </w:r>
    </w:p>
    <w:p>
      <w:pPr>
        <w:pStyle w:val="BodyText"/>
      </w:pPr>
      <w:r>
        <w:t xml:space="preserve">Коаксиальный кабель: Кабель с центральным проводником, окруженным диэлектриком, экраном и внешней оболочкой.</w:t>
      </w:r>
    </w:p>
    <w:p>
      <w:pPr>
        <w:pStyle w:val="BodyText"/>
      </w:pPr>
      <w:r>
        <w:t xml:space="preserve">Оптоволоконный кабель: Кабель, передающий данные в виде световых импульсов по стекловолокну.</w:t>
      </w:r>
    </w:p>
    <w:p>
      <w:pPr>
        <w:pStyle w:val="BodyText"/>
      </w:pPr>
      <w:r>
        <w:t xml:space="preserve">Беспроводные:</w:t>
      </w:r>
    </w:p>
    <w:p>
      <w:pPr>
        <w:pStyle w:val="BodyText"/>
      </w:pPr>
      <w:r>
        <w:t xml:space="preserve">Радиоканалы: Передача данных с помощью радиоволн (Wi-Fi, Bluetooth, сотовая связь).</w:t>
      </w:r>
    </w:p>
    <w:p>
      <w:pPr>
        <w:pStyle w:val="BodyText"/>
      </w:pPr>
      <w:r>
        <w:t xml:space="preserve">Инфракрасные каналы: Передача данных с помощью инфракрасного излучения (пульт ДУ).</w:t>
      </w:r>
    </w:p>
    <w:p>
      <w:pPr>
        <w:pStyle w:val="BodyText"/>
      </w:pPr>
      <w:r>
        <w:t xml:space="preserve">Спутниковые каналы: Передача данных с помощью спутников.</w:t>
      </w:r>
    </w:p>
    <w:p>
      <w:pPr>
        <w:pStyle w:val="BodyText"/>
      </w:pPr>
      <w:r>
        <w:t xml:space="preserve">Характеристики среды передачи данных, важные при планировании сети:</w:t>
      </w:r>
    </w:p>
    <w:p>
      <w:pPr>
        <w:pStyle w:val="BodyText"/>
      </w:pPr>
      <w:r>
        <w:t xml:space="preserve">Пропускная способность (bandwidth): Максимальная скорость передачи данных.</w:t>
      </w:r>
    </w:p>
    <w:p>
      <w:pPr>
        <w:pStyle w:val="BodyText"/>
      </w:pPr>
      <w:r>
        <w:t xml:space="preserve">Дальность передачи: Максимальное расстояние, на которое можно передать данные без потери качества.</w:t>
      </w:r>
    </w:p>
    <w:p>
      <w:pPr>
        <w:pStyle w:val="BodyText"/>
      </w:pPr>
      <w:r>
        <w:t xml:space="preserve">Затухание сигнала (attenuation): Ослабление сигнала при передаче.</w:t>
      </w:r>
    </w:p>
    <w:p>
      <w:pPr>
        <w:pStyle w:val="BodyText"/>
      </w:pPr>
      <w:r>
        <w:t xml:space="preserve">Помехоустойчивость: Способность противостоять внешним электромагнитным помехам.</w:t>
      </w:r>
    </w:p>
    <w:p>
      <w:pPr>
        <w:pStyle w:val="BodyText"/>
      </w:pPr>
      <w:r>
        <w:t xml:space="preserve">Стоимость: Цена кабеля и оборудования.</w:t>
      </w:r>
    </w:p>
    <w:p>
      <w:pPr>
        <w:pStyle w:val="BodyText"/>
      </w:pPr>
      <w:r>
        <w:t xml:space="preserve">Удобство прокладки: Сложность и стоимость установки.</w:t>
      </w:r>
    </w:p>
    <w:p>
      <w:pPr>
        <w:pStyle w:val="BodyText"/>
      </w:pPr>
      <w:r>
        <w:t xml:space="preserve">Безопасность: Защита от несанкционированного доступа.</w:t>
      </w:r>
    </w:p>
    <w:p>
      <w:pPr>
        <w:pStyle w:val="BodyText"/>
      </w:pPr>
      <w:r>
        <w:t xml:space="preserve">Экологические факторы: Влияние на окружающую среду.</w:t>
      </w:r>
    </w:p>
    <w:p>
      <w:pPr>
        <w:numPr>
          <w:ilvl w:val="0"/>
          <w:numId w:val="1015"/>
        </w:numPr>
        <w:pStyle w:val="Compact"/>
      </w:pPr>
      <w:r>
        <w:t xml:space="preserve">Перечислите категории витой пары. Чем они отличаются? Какая категория в каких условиях может применяться?</w:t>
      </w:r>
    </w:p>
    <w:p>
      <w:pPr>
        <w:pStyle w:val="FirstParagraph"/>
      </w:pPr>
      <w:r>
        <w:t xml:space="preserve">Витая пара классифицируется по категориям, которые определяют её характеристики, такие как пропускная способность и максимальная длина. Основные категории:</w:t>
      </w:r>
    </w:p>
    <w:p>
      <w:pPr>
        <w:pStyle w:val="BodyText"/>
      </w:pPr>
      <w:r>
        <w:t xml:space="preserve">Cat3: Пропускная способность до 16 Мбит/с. Используется в старых телефонных сетях и сетях 10BASE-T. Устарела.</w:t>
      </w:r>
      <w:r>
        <w:t xml:space="preserve"> </w:t>
      </w:r>
      <w:r>
        <w:t xml:space="preserve">Cat5: Пропускная способность до 100 Мбит/с. Используется в сетях 100BASE-TX (Fast Ethernet). Часто используется, но морально устарела.</w:t>
      </w:r>
      <w:r>
        <w:t xml:space="preserve"> </w:t>
      </w:r>
      <w:r>
        <w:t xml:space="preserve">Cat5e: Улучшенная версия Cat5, пропускная способность до 1 Гбит/с. Широко используется в сетях Gigabit Ethernet.</w:t>
      </w:r>
      <w:r>
        <w:t xml:space="preserve"> </w:t>
      </w:r>
      <w:r>
        <w:t xml:space="preserve">Cat6: Пропускная способность до 1 Гбит/с (на коротких расстояниях до 10 Гбит/с). Лучшая помехозащищенность, чем Cat5e. Используется в сетях Gigabit Ethernet и некоторых 10 Gigabit Ethernet.</w:t>
      </w:r>
      <w:r>
        <w:t xml:space="preserve"> </w:t>
      </w:r>
      <w:r>
        <w:t xml:space="preserve">Cat6a: Улучшенная версия Cat6, пропускная способность до 10 Гбит/с на расстояниях до 550 метров. Используется в высокоскоростных сетях.</w:t>
      </w:r>
      <w:r>
        <w:t xml:space="preserve"> </w:t>
      </w:r>
      <w:r>
        <w:t xml:space="preserve">Cat7: Пропускная способность до 10 Гбит/с (на коротких расстояниях до 40 Гбит/с). Более высокая производительность и помехозащищенность, чем Cat6a.</w:t>
      </w:r>
      <w:r>
        <w:t xml:space="preserve"> </w:t>
      </w:r>
      <w:r>
        <w:t xml:space="preserve">Cat7a: Улучшенная версия Cat7, пропускная способность до 100 Гбит/с.</w:t>
      </w:r>
    </w:p>
    <w:p>
      <w:pPr>
        <w:pStyle w:val="BodyText"/>
      </w:pPr>
      <w:r>
        <w:t xml:space="preserve">Условия применения: Выбор категории зависит от требуемой скорости передачи данных и расстояния. Cat5e подходит для большинства домашних и небольших офисных сетей. Для больших сетей или высокоскоростных приложений (например, 10 Gigabit Ethernet) необходимы категории Cat6a или выше.</w:t>
      </w:r>
    </w:p>
    <w:p>
      <w:pPr>
        <w:numPr>
          <w:ilvl w:val="0"/>
          <w:numId w:val="1016"/>
        </w:numPr>
        <w:pStyle w:val="Compact"/>
      </w:pPr>
      <w:r>
        <w:t xml:space="preserve">В чем отличие одномодового и многомодового оптоволокна? Какой тип кабеля в каких условиях может применяться?</w:t>
      </w:r>
    </w:p>
    <w:p>
      <w:pPr>
        <w:pStyle w:val="FirstParagraph"/>
      </w:pPr>
      <w:r>
        <w:t xml:space="preserve">Разница между одномодовым и многомодовым оптоволокном заключается в конструкции сердцевины и способе передачи света:</w:t>
      </w:r>
    </w:p>
    <w:p>
      <w:pPr>
        <w:pStyle w:val="BodyText"/>
      </w:pPr>
      <w:r>
        <w:t xml:space="preserve">Многомодовое оптоволокно: Имеет более толстую сердцевину, по которой свет распространяется по множеству путей (мод). Это приводит к большей дисперсии сигнала и ограниченной дальности передачи. Подходит для коротких расстояний (до 2 км) и относительно низких скоростей передачи данных.</w:t>
      </w:r>
    </w:p>
    <w:p>
      <w:pPr>
        <w:pStyle w:val="BodyText"/>
      </w:pPr>
      <w:r>
        <w:t xml:space="preserve">Одномодовое оптоволокно: Имеет очень тонкую сердцевину, по которой свет распространяется по одному пути. Это уменьшает дисперсию и позволяет передавать данные на большие расстояния (десятки и сотни километров) с высокой скоростью. Используется в высокоскоростных сетях на больших расстояниях, например, в магистральных сетях связи.</w:t>
      </w:r>
    </w:p>
    <w:p>
      <w:pPr>
        <w:pStyle w:val="BodyText"/>
      </w:pPr>
      <w:r>
        <w:t xml:space="preserve">Условия применения: Многомодовое оптоволокно используется в локальных сетях, а одномодовое — в магистральных и дальних коммуникациях.</w:t>
      </w:r>
    </w:p>
    <w:p>
      <w:pPr>
        <w:numPr>
          <w:ilvl w:val="0"/>
          <w:numId w:val="1017"/>
        </w:numPr>
        <w:pStyle w:val="Compact"/>
      </w:pPr>
      <w:r>
        <w:t xml:space="preserve">Какие разъёмы встречаются на патчах оптоволокна? Чем они отличаются?</w:t>
      </w:r>
    </w:p>
    <w:p>
      <w:pPr>
        <w:pStyle w:val="FirstParagraph"/>
      </w:pPr>
      <w:r>
        <w:t xml:space="preserve">Наиболее распространенные разъемы:</w:t>
      </w:r>
    </w:p>
    <w:p>
      <w:pPr>
        <w:pStyle w:val="BodyText"/>
      </w:pPr>
      <w:r>
        <w:t xml:space="preserve">SC (Subscriber Connector): Прямой, надежный и легко устанавливаемый разъем.</w:t>
      </w:r>
      <w:r>
        <w:t xml:space="preserve"> </w:t>
      </w:r>
      <w:r>
        <w:t xml:space="preserve">LC (Lucent Connector): Маленький, компактный разъем, экономит место в патч-панелях.</w:t>
      </w:r>
      <w:r>
        <w:t xml:space="preserve"> </w:t>
      </w:r>
      <w:r>
        <w:t xml:space="preserve">ST (Straight Tip): Разъем с байонетным замком, реже используется, чем SC и LC.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навыки работы с физической рабочей областью Packet Tracer, а также учла физические параметры сети.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Лобанова Полина Иннокентьевна</dc:creator>
  <dc:language>ru-RU</dc:language>
  <cp:keywords/>
  <dcterms:created xsi:type="dcterms:W3CDTF">2025-03-20T15:05:59Z</dcterms:created>
  <dcterms:modified xsi:type="dcterms:W3CDTF">2025-03-20T15:05:59Z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Администрирование локальных сетей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