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pPr>
      <w:bookmarkStart w:colFirst="0" w:colLast="0" w:name="_heading=h.6614pb5akt0a" w:id="0"/>
      <w:bookmarkEnd w:id="0"/>
      <w:r w:rsidDel="00000000" w:rsidR="00000000" w:rsidRPr="00000000">
        <w:rPr>
          <w:rtl w:val="0"/>
        </w:rPr>
        <w:t xml:space="preserve">Plantilla de Reporte de Insights</w:t>
      </w:r>
    </w:p>
    <w:p w:rsidR="00000000" w:rsidDel="00000000" w:rsidP="00000000" w:rsidRDefault="00000000" w:rsidRPr="00000000" w14:paraId="00000002">
      <w:pPr>
        <w:spacing w:after="240" w:before="240" w:lineRule="auto"/>
        <w:jc w:val="both"/>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2.810495333451"/>
        <w:gridCol w:w="2210.7217428492368"/>
        <w:gridCol w:w="4531.979572840935"/>
        <w:tblGridChange w:id="0">
          <w:tblGrid>
            <w:gridCol w:w="2282.810495333451"/>
            <w:gridCol w:w="2210.7217428492368"/>
            <w:gridCol w:w="4531.97957284093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3">
            <w:pPr>
              <w:spacing w:line="240" w:lineRule="auto"/>
              <w:jc w:val="center"/>
              <w:rPr>
                <w:b w:val="1"/>
                <w:bCs w:val="1"/>
              </w:rPr>
            </w:pPr>
            <w:r w:rsidDel="00000000" w:rsidR="00000000" w:rsidRPr="00000000">
              <w:rPr>
                <w:b w:val="1"/>
                <w:bCs w:val="1"/>
                <w:rtl w:val="0"/>
              </w:rPr>
              <w:t xml:space="preserve">SECCIÓN</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4">
            <w:pPr>
              <w:spacing w:line="240" w:lineRule="auto"/>
              <w:jc w:val="center"/>
              <w:rPr>
                <w:b w:val="1"/>
                <w:bCs w:val="1"/>
              </w:rPr>
            </w:pPr>
            <w:r w:rsidDel="00000000" w:rsidR="00000000" w:rsidRPr="00000000">
              <w:rPr>
                <w:b w:val="1"/>
                <w:bCs w:val="1"/>
                <w:rtl w:val="0"/>
              </w:rPr>
              <w:t xml:space="preserve">CAMPO DE REGISTRO</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5">
            <w:pPr>
              <w:spacing w:line="240" w:lineRule="auto"/>
              <w:jc w:val="center"/>
              <w:rPr>
                <w:b w:val="1"/>
                <w:bCs w:val="1"/>
              </w:rPr>
            </w:pPr>
            <w:r w:rsidDel="00000000" w:rsidR="00000000" w:rsidRPr="00000000">
              <w:rPr>
                <w:b w:val="1"/>
                <w:bCs w:val="1"/>
                <w:rtl w:val="0"/>
              </w:rPr>
              <w:t xml:space="preserve">VALOR</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6">
            <w:pPr>
              <w:spacing w:line="240" w:lineRule="auto"/>
              <w:rPr>
                <w:b w:val="1"/>
                <w:bCs w:val="1"/>
              </w:rPr>
            </w:pPr>
            <w:r w:rsidDel="00000000" w:rsidR="00000000" w:rsidRPr="00000000">
              <w:rPr>
                <w:b w:val="1"/>
                <w:bCs w:val="1"/>
                <w:rtl w:val="0"/>
              </w:rPr>
              <w:t xml:space="preserve">Resumen Ejecutivo del Hallazgo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b w:val="1"/>
                <w:bCs w:val="1"/>
              </w:rPr>
            </w:pPr>
            <w:r w:rsidDel="00000000" w:rsidR="00000000" w:rsidRPr="00000000">
              <w:rPr>
                <w:b w:val="1"/>
                <w:bCs w:val="1"/>
                <w:rtl w:val="0"/>
              </w:rPr>
              <w:t xml:space="preserve">ID del Insight: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INS-001</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b w:val="1"/>
                <w:bCs w:val="1"/>
              </w:rPr>
            </w:pPr>
            <w:r w:rsidDel="00000000" w:rsidR="00000000" w:rsidRPr="00000000">
              <w:rPr>
                <w:b w:val="1"/>
                <w:bCs w:val="1"/>
                <w:rtl w:val="0"/>
              </w:rPr>
              <w:t xml:space="preserve">Título Descriptivo: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Cantidad de incendios y superficie afectada siguen comportamientos distintos</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b w:val="1"/>
                <w:bCs w:val="1"/>
              </w:rPr>
            </w:pPr>
            <w:r w:rsidDel="00000000" w:rsidR="00000000" w:rsidRPr="00000000">
              <w:rPr>
                <w:b w:val="1"/>
                <w:bCs w:val="1"/>
                <w:rtl w:val="0"/>
              </w:rPr>
              <w:t xml:space="preserve">Categoría: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Relación entre variables / Gravedad de los incendios</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F">
            <w:pPr>
              <w:spacing w:line="240" w:lineRule="auto"/>
              <w:rPr>
                <w:b w:val="1"/>
                <w:bCs w:val="1"/>
              </w:rPr>
            </w:pPr>
            <w:r w:rsidDel="00000000" w:rsidR="00000000" w:rsidRPr="00000000">
              <w:rPr>
                <w:b w:val="1"/>
                <w:bCs w:val="1"/>
                <w:rtl w:val="0"/>
              </w:rPr>
              <w:t xml:space="preserve">Contexto y Evidencia Estadística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b w:val="1"/>
                <w:bCs w:val="1"/>
              </w:rPr>
            </w:pPr>
            <w:r w:rsidDel="00000000" w:rsidR="00000000" w:rsidRPr="00000000">
              <w:rPr>
                <w:b w:val="1"/>
                <w:bCs w:val="1"/>
                <w:rtl w:val="0"/>
              </w:rPr>
              <w:t xml:space="preserve">Patrón Identificado: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La cantidad de incendios y la superficie afectada no evolucionan de la misma manera. 2024 es el año con más incendios (2.707) y, sin embargo, con la menor superficie afectada (0,25 millones de hectáreas); 2020 tuvo menos incendios (1.720) pero la mayor superficie (1,00 millones). El NOA concentra el 49,2 % de los incendios pero solo el 10,1 % de las hectáreas; en cambio, la Pampeana reúne el 8,2 % de los incendios y el 22,2 % de las hectáreas. En el gráfico de burbujas, las provincias con más incendios no son necesariamente las de mayor superficie afectada.</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b w:val="1"/>
                <w:bCs w:val="1"/>
              </w:rPr>
            </w:pPr>
            <w:r w:rsidDel="00000000" w:rsidR="00000000" w:rsidRPr="00000000">
              <w:rPr>
                <w:b w:val="1"/>
                <w:bCs w:val="1"/>
                <w:rtl w:val="0"/>
              </w:rPr>
              <w:t xml:space="preserve">Variable(s) Crítica(s):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Cantidad de incendios y superficie afectada (hectáreas) por provincia, región y año, período 2020–2025 (tablas </w:t>
            </w:r>
            <w:r w:rsidDel="00000000" w:rsidR="00000000" w:rsidRPr="00000000">
              <w:rPr>
                <w:rtl w:val="0"/>
              </w:rPr>
              <w:t xml:space="preserve">IncendioForestal_2020_2026</w:t>
            </w:r>
            <w:r w:rsidDel="00000000" w:rsidR="00000000" w:rsidRPr="00000000">
              <w:rPr>
                <w:rtl w:val="0"/>
              </w:rPr>
              <w:t xml:space="preserve"> y cant_hect_incen_prov_2020_2026). Hectáreas por incendio: 267 en el total del período. Página "Cantidad </w:t>
            </w:r>
            <w:r w:rsidDel="00000000" w:rsidR="00000000" w:rsidRPr="00000000">
              <w:rPr>
                <w:rtl w:val="0"/>
              </w:rPr>
              <w:t xml:space="preserve">vs superficie</w:t>
            </w:r>
            <w:r w:rsidDel="00000000" w:rsidR="00000000" w:rsidRPr="00000000">
              <w:rPr>
                <w:rtl w:val="0"/>
              </w:rPr>
              <w:t xml:space="preserve">" del tablero.</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b w:val="1"/>
                <w:bCs w:val="1"/>
              </w:rPr>
            </w:pPr>
            <w:r w:rsidDel="00000000" w:rsidR="00000000" w:rsidRPr="00000000">
              <w:rPr>
                <w:b w:val="1"/>
                <w:bCs w:val="1"/>
                <w:rtl w:val="0"/>
              </w:rPr>
              <w:t xml:space="preserve">Grado de Confianza: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Medio. Los datos se reconstruyeron a partir de los reportes mensuales del SNMF y los valores "s/d" se reemplazaron por 0 (puede confundir "sin incendios" con "sin dato"). Además, esta página suma 13.326 incendios y la de regiones 13.486, porque excluye los parques nacionales de 2020.</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El Insight (Conocimiento Profundo)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Interpretación: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No se observa una relación directa entre la cantidad de incendios y la superficie afectada. El tamaño promedio de los incendios difiere según la región y el año, por lo que contar incendios no alcanza para dimensionar la superficie afectada: ambas variables aportan información diferente y deben leerse en conjunto.</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Impacto Potencial: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Si se ignora, un análisis que mida sólo la cantidad de incendios podría concluir que la situación empeora (o mejora) cuando la superficie afectada muestra otra cosa. Si se actúa, el proyecto usa ambas variables en conjunto al comunicar los resultados.</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Recomendaciones y Próximos Pasos (Accionabilidad)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Acción Propuesta: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Presentar siempre la cantidad de incendios junto con la superficie afectada, y apoyarse en las hectáreas por incendio para comparar regiones y años.</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Prioridad: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Alta</w:t>
            </w:r>
          </w:p>
        </w:tc>
      </w:tr>
      <w:tr>
        <w:trPr>
          <w:cantSplit w:val="1"/>
          <w:trHeight w:val="1031.850585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Sprint Futuro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Sí. En el Sprint 3, diseñar el producto de visualización y construir la narrativa (data storytelling) con ambas variables juntas. Documentar la limitación de los valores "s/d" reemplazados por 0.</w:t>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2.810495333451"/>
        <w:gridCol w:w="2210.7217428492368"/>
        <w:gridCol w:w="4531.979572840935"/>
        <w:tblGridChange w:id="0">
          <w:tblGrid>
            <w:gridCol w:w="2282.810495333451"/>
            <w:gridCol w:w="2210.7217428492368"/>
            <w:gridCol w:w="4531.97957284093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28">
            <w:pPr>
              <w:spacing w:line="240" w:lineRule="auto"/>
              <w:jc w:val="center"/>
              <w:rPr>
                <w:b w:val="1"/>
                <w:bCs w:val="1"/>
              </w:rPr>
            </w:pPr>
            <w:r w:rsidDel="00000000" w:rsidR="00000000" w:rsidRPr="00000000">
              <w:rPr>
                <w:b w:val="1"/>
                <w:bCs w:val="1"/>
                <w:rtl w:val="0"/>
              </w:rPr>
              <w:t xml:space="preserve">SECCIÓN</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29">
            <w:pPr>
              <w:spacing w:line="240" w:lineRule="auto"/>
              <w:jc w:val="center"/>
              <w:rPr>
                <w:b w:val="1"/>
                <w:bCs w:val="1"/>
              </w:rPr>
            </w:pPr>
            <w:r w:rsidDel="00000000" w:rsidR="00000000" w:rsidRPr="00000000">
              <w:rPr>
                <w:b w:val="1"/>
                <w:bCs w:val="1"/>
                <w:rtl w:val="0"/>
              </w:rPr>
              <w:t xml:space="preserve">CAMPO DE REGISTRO</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2A">
            <w:pPr>
              <w:spacing w:line="240" w:lineRule="auto"/>
              <w:jc w:val="center"/>
              <w:rPr>
                <w:b w:val="1"/>
                <w:bCs w:val="1"/>
              </w:rPr>
            </w:pPr>
            <w:r w:rsidDel="00000000" w:rsidR="00000000" w:rsidRPr="00000000">
              <w:rPr>
                <w:b w:val="1"/>
                <w:bCs w:val="1"/>
                <w:rtl w:val="0"/>
              </w:rPr>
              <w:t xml:space="preserve">VALOR</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B">
            <w:pPr>
              <w:spacing w:line="240" w:lineRule="auto"/>
              <w:rPr>
                <w:b w:val="1"/>
                <w:bCs w:val="1"/>
              </w:rPr>
            </w:pPr>
            <w:r w:rsidDel="00000000" w:rsidR="00000000" w:rsidRPr="00000000">
              <w:rPr>
                <w:b w:val="1"/>
                <w:bCs w:val="1"/>
                <w:rtl w:val="0"/>
              </w:rPr>
              <w:t xml:space="preserve">Resumen Ejecutivo del Hallazgo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ID del Insight: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INS-002</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b w:val="1"/>
                <w:bCs w:val="1"/>
              </w:rPr>
            </w:pPr>
            <w:r w:rsidDel="00000000" w:rsidR="00000000" w:rsidRPr="00000000">
              <w:rPr>
                <w:b w:val="1"/>
                <w:bCs w:val="1"/>
                <w:rtl w:val="0"/>
              </w:rPr>
              <w:t xml:space="preserve">Título Descriptivo: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Los focos de calor se concentran en pocas provincias del norte y el litoral y en la segunda mitad del año</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b w:val="1"/>
                <w:bCs w:val="1"/>
              </w:rPr>
            </w:pPr>
            <w:r w:rsidDel="00000000" w:rsidR="00000000" w:rsidRPr="00000000">
              <w:rPr>
                <w:b w:val="1"/>
                <w:bCs w:val="1"/>
                <w:rtl w:val="0"/>
              </w:rPr>
              <w:t xml:space="preserve">Categoría: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Distribución territorial y temporal</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4">
            <w:pPr>
              <w:spacing w:line="240" w:lineRule="auto"/>
              <w:rPr>
                <w:b w:val="1"/>
                <w:bCs w:val="1"/>
              </w:rPr>
            </w:pPr>
            <w:r w:rsidDel="00000000" w:rsidR="00000000" w:rsidRPr="00000000">
              <w:rPr>
                <w:b w:val="1"/>
                <w:bCs w:val="1"/>
                <w:rtl w:val="0"/>
              </w:rPr>
              <w:t xml:space="preserve">Contexto y Evidencia Estadística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b w:val="1"/>
                <w:bCs w:val="1"/>
              </w:rPr>
            </w:pPr>
            <w:r w:rsidDel="00000000" w:rsidR="00000000" w:rsidRPr="00000000">
              <w:rPr>
                <w:b w:val="1"/>
                <w:bCs w:val="1"/>
                <w:rtl w:val="0"/>
              </w:rPr>
              <w:t xml:space="preserve">Patrón Identificado: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Los focos de calor no se distribuyen de manera uniforme. Santa Fe, Formosa y Corrientes registran los valores más altos (0,22, 0,20 y 0,16 millones de focos), seguidas por Chaco y Santiago del Estero; estas cinco reúnen alrededor del 60 % del total del período (1,31 millones). Mendoza, Río Negro, La Pampa, San Luis y Jujuy presentan cantidades muy bajas. 2020 es el año con más focos (405.904), seguido por 2022 (287.685). En el acumulado, los focos se concentran entre agosto y octubre, con el máximo en agosto (0,27 millones).</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b w:val="1"/>
                <w:bCs w:val="1"/>
              </w:rPr>
            </w:pPr>
            <w:r w:rsidDel="00000000" w:rsidR="00000000" w:rsidRPr="00000000">
              <w:rPr>
                <w:b w:val="1"/>
                <w:bCs w:val="1"/>
                <w:rtl w:val="0"/>
              </w:rPr>
              <w:t xml:space="preserve">Variable(s) Crítica(s):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Focos de calor por jurisdicción, año y mes, 2020–2025 (tabla cant_focos_prov_mes_2020_2026 y cant_total_focos_año). Página "Focos de calor" del tablero.</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b w:val="1"/>
                <w:bCs w:val="1"/>
              </w:rPr>
            </w:pPr>
            <w:r w:rsidDel="00000000" w:rsidR="00000000" w:rsidRPr="00000000">
              <w:rPr>
                <w:b w:val="1"/>
                <w:bCs w:val="1"/>
                <w:rtl w:val="0"/>
              </w:rPr>
              <w:t xml:space="preserve">Grado de Confianza: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Medio. La tabla está completa (1.920 registros, 24 jurisdicciones × 80 meses, sin celdas vacías), pero los focos de calor son una medición satelital y no equivalen a incendios registrados.</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D">
            <w:pPr>
              <w:rPr>
                <w:b w:val="1"/>
                <w:bCs w:val="1"/>
              </w:rPr>
            </w:pPr>
            <w:r w:rsidDel="00000000" w:rsidR="00000000" w:rsidRPr="00000000">
              <w:rPr>
                <w:b w:val="1"/>
                <w:bCs w:val="1"/>
                <w:rtl w:val="0"/>
              </w:rPr>
              <w:t xml:space="preserve">El Insight (Conocimiento Profundo)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b w:val="1"/>
                <w:bCs w:val="1"/>
              </w:rPr>
            </w:pPr>
            <w:r w:rsidDel="00000000" w:rsidR="00000000" w:rsidRPr="00000000">
              <w:rPr>
                <w:b w:val="1"/>
                <w:bCs w:val="1"/>
                <w:rtl w:val="0"/>
              </w:rPr>
              <w:t xml:space="preserve">Interpretación: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La distribución territorial de los focos es desigual: pocas provincias concentran la mayor parte de los registros y muchas otras aportan una porción mínima. El comportamiento temporal también lo es: 2020 se aleja del resto del período y, dentro del año, los focos se concentran en unos pocos meses.</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rPr>
                <w:b w:val="1"/>
                <w:bCs w:val="1"/>
              </w:rPr>
            </w:pPr>
            <w:r w:rsidDel="00000000" w:rsidR="00000000" w:rsidRPr="00000000">
              <w:rPr>
                <w:b w:val="1"/>
                <w:bCs w:val="1"/>
                <w:rtl w:val="0"/>
              </w:rPr>
              <w:t xml:space="preserve">Impacto Potencial: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Si se ignora, se podrían repartir los esfuerzos de prevención y monitoreo de forma pareja entre provincias y meses. Si se actúa, el seguimiento se concentra donde y cuando se concentran los focos.</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3">
            <w:pPr>
              <w:rPr>
                <w:b w:val="1"/>
                <w:bCs w:val="1"/>
              </w:rPr>
            </w:pPr>
            <w:r w:rsidDel="00000000" w:rsidR="00000000" w:rsidRPr="00000000">
              <w:rPr>
                <w:b w:val="1"/>
                <w:bCs w:val="1"/>
                <w:rtl w:val="0"/>
              </w:rPr>
              <w:t xml:space="preserve">Recomendaciones y Próximos Pasos (Accionabilidad)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Acción Propuesta: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Priorizar el análisis y la comunicación de las provincias del norte y el litoral y de la segunda mitad del año (agosto a octubre), y tratar 2020 como un año atípico.</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Prioridad: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Media</w:t>
            </w:r>
          </w:p>
        </w:tc>
      </w:tr>
      <w:tr>
        <w:trPr>
          <w:cantSplit w:val="1"/>
          <w:trHeight w:val="1031.850585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Sprint Futuro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Sí. Incluir en el Sprint 3 la visualización de la concentración territorial y temporal de los focos. Los datos de 2026 se excluyeron por ser parciales; evaluar sumarlos cuando estén completos.</w:t>
            </w:r>
          </w:p>
        </w:tc>
      </w:tr>
    </w:tbl>
    <w:p w:rsidR="00000000" w:rsidDel="00000000" w:rsidP="00000000" w:rsidRDefault="00000000" w:rsidRPr="00000000" w14:paraId="0000004C">
      <w:pPr>
        <w:rPr/>
      </w:pPr>
      <w:r w:rsidDel="00000000" w:rsidR="00000000" w:rsidRPr="00000000">
        <w:br w:type="page"/>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2.810495333451"/>
        <w:gridCol w:w="2210.7217428492368"/>
        <w:gridCol w:w="4531.979572840935"/>
        <w:tblGridChange w:id="0">
          <w:tblGrid>
            <w:gridCol w:w="2282.810495333451"/>
            <w:gridCol w:w="2210.7217428492368"/>
            <w:gridCol w:w="4531.97957284093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4D">
            <w:pPr>
              <w:spacing w:line="240" w:lineRule="auto"/>
              <w:jc w:val="center"/>
              <w:rPr>
                <w:b w:val="1"/>
                <w:bCs w:val="1"/>
              </w:rPr>
            </w:pPr>
            <w:r w:rsidDel="00000000" w:rsidR="00000000" w:rsidRPr="00000000">
              <w:rPr>
                <w:b w:val="1"/>
                <w:bCs w:val="1"/>
                <w:rtl w:val="0"/>
              </w:rPr>
              <w:t xml:space="preserve">SECCIÓN</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4E">
            <w:pPr>
              <w:spacing w:line="240" w:lineRule="auto"/>
              <w:jc w:val="center"/>
              <w:rPr>
                <w:b w:val="1"/>
                <w:bCs w:val="1"/>
              </w:rPr>
            </w:pPr>
            <w:r w:rsidDel="00000000" w:rsidR="00000000" w:rsidRPr="00000000">
              <w:rPr>
                <w:b w:val="1"/>
                <w:bCs w:val="1"/>
                <w:rtl w:val="0"/>
              </w:rPr>
              <w:t xml:space="preserve">CAMPO DE REGISTRO</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4F">
            <w:pPr>
              <w:spacing w:line="240" w:lineRule="auto"/>
              <w:jc w:val="center"/>
              <w:rPr>
                <w:b w:val="1"/>
                <w:bCs w:val="1"/>
              </w:rPr>
            </w:pPr>
            <w:r w:rsidDel="00000000" w:rsidR="00000000" w:rsidRPr="00000000">
              <w:rPr>
                <w:b w:val="1"/>
                <w:bCs w:val="1"/>
                <w:rtl w:val="0"/>
              </w:rPr>
              <w:t xml:space="preserve">VALOR</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0">
            <w:pPr>
              <w:spacing w:line="240" w:lineRule="auto"/>
              <w:rPr>
                <w:b w:val="1"/>
                <w:bCs w:val="1"/>
              </w:rPr>
            </w:pPr>
            <w:r w:rsidDel="00000000" w:rsidR="00000000" w:rsidRPr="00000000">
              <w:rPr>
                <w:b w:val="1"/>
                <w:bCs w:val="1"/>
                <w:rtl w:val="0"/>
              </w:rPr>
              <w:t xml:space="preserve">Resumen Ejecutivo del Hallazgo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b w:val="1"/>
                <w:bCs w:val="1"/>
              </w:rPr>
            </w:pPr>
            <w:r w:rsidDel="00000000" w:rsidR="00000000" w:rsidRPr="00000000">
              <w:rPr>
                <w:b w:val="1"/>
                <w:bCs w:val="1"/>
                <w:rtl w:val="0"/>
              </w:rPr>
              <w:t xml:space="preserve">ID del Insight: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INS-003</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b w:val="1"/>
                <w:bCs w:val="1"/>
              </w:rPr>
            </w:pPr>
            <w:r w:rsidDel="00000000" w:rsidR="00000000" w:rsidRPr="00000000">
              <w:rPr>
                <w:b w:val="1"/>
                <w:bCs w:val="1"/>
                <w:rtl w:val="0"/>
              </w:rPr>
              <w:t xml:space="preserve">Título Descriptivo: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El NOA concentra cerca de la mitad de los incendios durante todo el período</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b w:val="1"/>
                <w:bCs w:val="1"/>
              </w:rPr>
            </w:pPr>
            <w:r w:rsidDel="00000000" w:rsidR="00000000" w:rsidRPr="00000000">
              <w:rPr>
                <w:b w:val="1"/>
                <w:bCs w:val="1"/>
                <w:rtl w:val="0"/>
              </w:rPr>
              <w:t xml:space="preserve">Categoría: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Distribución geográfica / Comportamiento regional</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9">
            <w:pPr>
              <w:spacing w:line="240" w:lineRule="auto"/>
              <w:rPr>
                <w:b w:val="1"/>
                <w:bCs w:val="1"/>
              </w:rPr>
            </w:pPr>
            <w:r w:rsidDel="00000000" w:rsidR="00000000" w:rsidRPr="00000000">
              <w:rPr>
                <w:b w:val="1"/>
                <w:bCs w:val="1"/>
                <w:rtl w:val="0"/>
              </w:rPr>
              <w:t xml:space="preserve">Contexto y Evidencia Estadística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b w:val="1"/>
                <w:bCs w:val="1"/>
              </w:rPr>
            </w:pPr>
            <w:r w:rsidDel="00000000" w:rsidR="00000000" w:rsidRPr="00000000">
              <w:rPr>
                <w:b w:val="1"/>
                <w:bCs w:val="1"/>
                <w:rtl w:val="0"/>
              </w:rPr>
              <w:t xml:space="preserve">Patrón Identificado: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El NOA concentra la mayor cantidad de incendios (6.720 de 13.486, cerca de la mitad del período) y es la región con más incendios en todos los años analizados. Las demás regiones tienen valores bastante menores y más cercanos entre sí: Centro 1.852, NEA 1.598, Patagonia 1.329, Pampeana 1.088 y Norte 899. Su peso cambia de un año a otro: el Norte baja de 348 incendios en 2020 a 11 en 2025, y el NEA tiene un aumento marcado en 2024 (793) que no se mantiene al año siguiente (70). A nivel total, 2022 (2.657) y 2024 (2.749) son los años con más incendios.</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b w:val="1"/>
                <w:bCs w:val="1"/>
              </w:rPr>
            </w:pPr>
            <w:r w:rsidDel="00000000" w:rsidR="00000000" w:rsidRPr="00000000">
              <w:rPr>
                <w:b w:val="1"/>
                <w:bCs w:val="1"/>
                <w:rtl w:val="0"/>
              </w:rPr>
              <w:t xml:space="preserve">Variable(s) Crítica(s):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Cantidad de incendios por región y año, 2020–2025 (tabla cant_incen_regi_2020_2026, 6 regiones × 7 años). Página "Incendios por región" del tablero.</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b w:val="1"/>
                <w:bCs w:val="1"/>
              </w:rPr>
            </w:pPr>
            <w:r w:rsidDel="00000000" w:rsidR="00000000" w:rsidRPr="00000000">
              <w:rPr>
                <w:b w:val="1"/>
                <w:bCs w:val="1"/>
                <w:rtl w:val="0"/>
              </w:rPr>
              <w:t xml:space="preserve">Grado de Confianza: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Medio. Los totales regionales provienen de reportes mensuales del SNMF y esta página suma 13.486 incendios (incluye parques nacionales de 2020), frente a 13.326 de la página "Cantidad </w:t>
            </w:r>
            <w:r w:rsidDel="00000000" w:rsidR="00000000" w:rsidRPr="00000000">
              <w:rPr>
                <w:rtl w:val="0"/>
              </w:rPr>
              <w:t xml:space="preserve">vs superficie</w:t>
            </w:r>
            <w:r w:rsidDel="00000000" w:rsidR="00000000" w:rsidRPr="00000000">
              <w:rPr>
                <w:rtl w:val="0"/>
              </w:rPr>
              <w:t xml:space="preserve">".</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2">
            <w:pPr>
              <w:rPr>
                <w:b w:val="1"/>
                <w:bCs w:val="1"/>
              </w:rPr>
            </w:pPr>
            <w:r w:rsidDel="00000000" w:rsidR="00000000" w:rsidRPr="00000000">
              <w:rPr>
                <w:b w:val="1"/>
                <w:bCs w:val="1"/>
                <w:rtl w:val="0"/>
              </w:rPr>
              <w:t xml:space="preserve">El Insight (Conocimiento Profundo)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b w:val="1"/>
                <w:bCs w:val="1"/>
              </w:rPr>
            </w:pPr>
            <w:r w:rsidDel="00000000" w:rsidR="00000000" w:rsidRPr="00000000">
              <w:rPr>
                <w:b w:val="1"/>
                <w:bCs w:val="1"/>
                <w:rtl w:val="0"/>
              </w:rPr>
              <w:t xml:space="preserve">Interpretación: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La distribución de los incendios entre regiones es desigual, con una región que se destaca claramente sobre las demás. Esa distribución no es fija: la participación de las regiones varía entre años, aunque el liderazgo del NOA se mantiene.</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b w:val="1"/>
                <w:bCs w:val="1"/>
              </w:rPr>
            </w:pPr>
            <w:r w:rsidDel="00000000" w:rsidR="00000000" w:rsidRPr="00000000">
              <w:rPr>
                <w:b w:val="1"/>
                <w:bCs w:val="1"/>
                <w:rtl w:val="0"/>
              </w:rPr>
              <w:t xml:space="preserve">Impacto Potencial: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Si se ignora, el análisis nacional puede ocultar que una sola región explica casi la mitad de los incendios y que algunos picos (como el NEA en 2024) son episodios de un año. Si se actúa, se separa la concentración estable (NOA) de las variaciones anuales de las demás regiones.</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8">
            <w:pPr>
              <w:rPr>
                <w:b w:val="1"/>
                <w:bCs w:val="1"/>
              </w:rPr>
            </w:pPr>
            <w:r w:rsidDel="00000000" w:rsidR="00000000" w:rsidRPr="00000000">
              <w:rPr>
                <w:b w:val="1"/>
                <w:bCs w:val="1"/>
                <w:rtl w:val="0"/>
              </w:rPr>
              <w:t xml:space="preserve">Recomendaciones y Próximos Pasos (Accionabilidad)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b w:val="1"/>
                <w:bCs w:val="1"/>
              </w:rPr>
            </w:pPr>
            <w:r w:rsidDel="00000000" w:rsidR="00000000" w:rsidRPr="00000000">
              <w:rPr>
                <w:b w:val="1"/>
                <w:bCs w:val="1"/>
                <w:rtl w:val="0"/>
              </w:rPr>
              <w:t xml:space="preserve">Acción Propuesta: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Destacar al NOA como la región de mayor concentración y mostrar la evolución anual por región, marcando el NEA 2024 como episodio puntual.</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b w:val="1"/>
                <w:bCs w:val="1"/>
              </w:rPr>
            </w:pPr>
            <w:r w:rsidDel="00000000" w:rsidR="00000000" w:rsidRPr="00000000">
              <w:rPr>
                <w:b w:val="1"/>
                <w:bCs w:val="1"/>
                <w:rtl w:val="0"/>
              </w:rPr>
              <w:t xml:space="preserve">Prioridad: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Media</w:t>
            </w:r>
          </w:p>
        </w:tc>
      </w:tr>
      <w:tr>
        <w:trPr>
          <w:cantSplit w:val="1"/>
          <w:trHeight w:val="1031.850585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rPr>
                <w:b w:val="1"/>
                <w:bCs w:val="1"/>
              </w:rPr>
            </w:pPr>
            <w:r w:rsidDel="00000000" w:rsidR="00000000" w:rsidRPr="00000000">
              <w:rPr>
                <w:b w:val="1"/>
                <w:bCs w:val="1"/>
                <w:rtl w:val="0"/>
              </w:rPr>
              <w:t xml:space="preserve">Sprint Futuro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Sí. Para el Sprint 3, incorporar la comparación regional en la narrativa del producto de visualización y evaluar un nivel de detalle por provincia dentro del NOA y el NEA.</w:t>
            </w:r>
          </w:p>
        </w:tc>
      </w:tr>
    </w:tbl>
    <w:p w:rsidR="00000000" w:rsidDel="00000000" w:rsidP="00000000" w:rsidRDefault="00000000" w:rsidRPr="00000000" w14:paraId="00000071">
      <w:pPr>
        <w:spacing w:after="240" w:before="240" w:lineRule="auto"/>
        <w:ind w:right="600"/>
        <w:jc w:val="both"/>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IiCxq+cdEde1d5pJWjacrfp57A==">CgMxLjAyDmguNjYxNHBiNWFrdDBhOAByITFnQjlVNHhQSk00YnBHWVNuTW8zczBZNlBacVdpRmkyLQ==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