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84dgjtqkuy0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Retrospectiva del Sprint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9izyhpvgh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generales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2 — Ambiente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Análisis de Incendios Forestales y su impacto en la Argentina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Sprint 2 (08/10/2026 – 25/10/2026)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25 de octubre de 2026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2ynankc79j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¿Qué funcionó bien?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Aspectos de la organización, comunicación o trabajo del equipo que resultaron efectivos.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limpieza y estandarización de los datos se hizo desde el inicio del Sprint y quedó registrada con fecha en la Bitácora ETL (13/10 al 19/10), lo que cumple la mejora acordada en el Sprint 1.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equipo ajustó el alcance a tiempo (descarte de los datasets de Tierra del Fuego el 09/10 y período 2020–2025 el 19/10), lo que permitió comparar provincias y regiones de todo el país con años completos.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Organizar el análisis con una página del tablero por pregunta (hallazgos, interpretación e insight) dio una estructura clara y coherente entre el Informe Técnico y el Reporte de Insights.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76ajvc4uj1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¿Qué no funcionó como esperábamos?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Situaciones relacionadas con la forma de trabajo que dificultaron el desarrollo del Sprint.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Informe Técnico y la Ficha Técnica del Sprint 2 se redactaron en los últimos días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Las diferencias de cifras entre páginas del tablero (13.326 y 13.486 incendios) hubo que aclararlas en el pie de página.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wx3nstso4a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Dificultades encontradas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 concretos que </w:t>
      </w:r>
      <w:r w:rsidDel="00000000" w:rsidR="00000000" w:rsidRPr="00000000">
        <w:rPr>
          <w:rtl w:val="0"/>
        </w:rPr>
        <w:t xml:space="preserve">afectaron</w:t>
      </w:r>
      <w:r w:rsidDel="00000000" w:rsidR="00000000" w:rsidRPr="00000000">
        <w:rPr>
          <w:rtl w:val="0"/>
        </w:rPr>
        <w:t xml:space="preserve"> el desarrollo del proyecto.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Los datos de incendios y superficie estaban publicados en reportes mensuales en PDF, por lo que hubo que reconstruirlos en 7 tablas (1.111 registros) con Power Query antes de poder analizarlos.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Inconsistencias en los datos: variantes de nombres de jurisdicción (por ejemplo APN/Chubut y "RíoNegro"), filas de totales y de parques nacionales que duplicaban valores, y el año 2026 incompleto (hasta agosto), que se excluyó del análisis.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valores "s/d" se reemplazaron por 0 para poder asignar formato numérico, lo que puede confundir "sin incendios" con "sin dato" al interpretar los resultados.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lofrejvkle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Acciones de mejora para el próximo Sprint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vamos a cambiar o hacer de manera diferente?</w:t>
      </w:r>
    </w:p>
    <w:tbl>
      <w:tblPr>
        <w:tblStyle w:val="Table1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2070"/>
        <w:gridCol w:w="2340"/>
        <w:tblGridChange w:id="0">
          <w:tblGrid>
            <w:gridCol w:w="2025"/>
            <w:gridCol w:w="2070"/>
            <w:gridCol w:w="234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¿Cuándo?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Acordar una única versión vigente del archivo de Power BI y nombrar las versiones con fecha.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Desde el inicio del Sprint 3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Redactar los documentos (storytelling, presentación final) a medida que avanza el trabajo y no solo al cierre.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Jonatan / Pilar / Laura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Durante todo el Sprint 3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Revisar entre dos integrantes que las cifras coincidan entre el tablero, el informe y los reportes antes de entregar.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Antes del cierre del Sprint 3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6wj7ngli5c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Aprendizajes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aprendimos durante este Sprint sobre el proyecto, los datos, las herramientas o nuestra forma de trabajar?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Una misma base de datos puede dar lecturas distintas según la variable: la cantidad de incendios y la superficie afectada siguen comportamientos diferentes y deben leerse en conjunto.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Las decisiones sobre los datos (reemplazo de "s/d", exclusión de 2026, eliminación de totales) deben registrarse con fecha para poder </w:t>
      </w:r>
      <w:r w:rsidDel="00000000" w:rsidR="00000000" w:rsidRPr="00000000">
        <w:rPr>
          <w:rtl w:val="0"/>
        </w:rPr>
        <w:t xml:space="preserve">explicarlas</w:t>
      </w:r>
      <w:r w:rsidDel="00000000" w:rsidR="00000000" w:rsidRPr="00000000">
        <w:rPr>
          <w:rtl w:val="0"/>
        </w:rPr>
        <w:t xml:space="preserve"> después en el informe y el tablero.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Reconstruir datos desde reportes en PDF lleva más tiempo y es más propenso a diferencias de cifras que trabajar con archivos tabulares; conviene definir la fuente de datos al comienzo.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xwi3r445kpt" w:id="7"/>
      <w:bookmarkEnd w:id="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6. Compromisos para el próximo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partir de esta retrospectiva, el equipo acuerda: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Mantener actualizado el Gantt y el tablero de Trello semanalmente, y marcar cada tarea como completa al terminarla.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Tener una única versión del tablero de Power BI y verificar la consistencia de las cifras entre documentos antes de cada entrega.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Repartir la redacción de la narrativa y de la presentación final entre los tres integrantes, con borradores listos antes del último día del Sprint 3.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/>
      </w:pPr>
      <w:bookmarkStart w:colFirst="0" w:colLast="0" w:name="_heading=h.j3zoxc9ihe1p" w:id="8"/>
      <w:bookmarkEnd w:id="8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H6fgASprq/0fQKXcfYpld9sQw==">CgMxLjAyDmguODRkZ2p0cWt1eTBjMg1oLno5aXp5aHB2Z2h5Mg5oLmoyeW5hbmtjNzlqczIOaC44NzZhanZjNHVqMXUyDmguaXd4M25zdHNvNGFwMg5oLnhsb2ZyZWp2a2xlYzIOaC5iNndqN25nbGk1Y2cyDmguNXh3aTNyNDQ1a3B0Mg5oLmozem94YzlpaGUxcDgAciExemRFUEpUdDFORENjUVlPVTZlaWhGemtNWTRvRU5kTW0=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