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595959"/>
          <w:sz w:val="20"/>
          <w:szCs w:val="20"/>
        </w:rPr>
        <w:t xml:space="preserve">PP1 — Proyecto Integrador I</w:t>
      </w:r>
    </w:p>
    <w:p>
      <w:pPr>
        <w:spacing w:after="100"/>
      </w:pPr>
      <w:r>
        <w:rPr>
          <w:b/>
          <w:bCs/>
          <w:color w:val="1F3864"/>
          <w:sz w:val="40"/>
          <w:szCs w:val="40"/>
        </w:rPr>
        <w:t xml:space="preserve">Informe Técnico — Sprint 1</w:t>
      </w:r>
    </w:p>
    <w:p>
      <w:pPr>
        <w:spacing w:after="300"/>
      </w:pPr>
      <w:r>
        <w:rPr>
          <w:i/>
          <w:iCs/>
          <w:color w:val="595959"/>
          <w:sz w:val="24"/>
          <w:szCs w:val="24"/>
        </w:rPr>
        <w:t xml:space="preserve">Análisis de Incendios Forestales en Argentina y su impacto en la Patagonia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D9E2F3" w:val="clear"/>
            <w:tcMar>
              <w:top w:type="dxa" w:w="60"/>
              <w:left w:type="dxa" w:w="100"/>
              <w:bottom w:type="dxa" w:w="60"/>
              <w:right w:type="dxa" w:w="100"/>
            </w:tcMar>
          </w:tcPr>
          <w:p>
            <w:pPr>
              <w:jc w:val="left"/>
            </w:pPr>
            <w:r>
              <w:rPr>
                <w:b/>
                <w:bCs/>
                <w:sz w:val="20"/>
                <w:szCs w:val="20"/>
              </w:rPr>
              <w:t xml:space="preserve">Equipo</w:t>
            </w:r>
          </w:p>
        </w:tc>
        <w:tc>
          <w:tcPr>
            <w:tcW w:type="dxa" w:w="6000"/>
            <w:tcMar>
              <w:top w:type="dxa" w:w="60"/>
              <w:left w:type="dxa" w:w="100"/>
              <w:bottom w:type="dxa" w:w="60"/>
              <w:right w:type="dxa" w:w="100"/>
            </w:tcMar>
          </w:tcPr>
          <w:p>
            <w:pPr>
              <w:jc w:val="left"/>
            </w:pPr>
            <w:r>
              <w:rPr>
                <w:b w:val="false"/>
                <w:bCs w:val="false"/>
                <w:sz w:val="20"/>
                <w:szCs w:val="20"/>
              </w:rPr>
              <w:t xml:space="preserve">2 — Ambiente</w:t>
            </w:r>
          </w:p>
        </w:tc>
      </w:tr>
      <w:tr>
        <w:tc>
          <w:tcPr>
            <w:shd w:fill="D9E2F3" w:val="clear"/>
            <w:tcMar>
              <w:top w:type="dxa" w:w="60"/>
              <w:left w:type="dxa" w:w="100"/>
              <w:bottom w:type="dxa" w:w="60"/>
              <w:right w:type="dxa" w:w="100"/>
            </w:tcMar>
          </w:tcPr>
          <w:p>
            <w:pPr>
              <w:jc w:val="left"/>
            </w:pPr>
            <w:r>
              <w:rPr>
                <w:b/>
                <w:bCs/>
                <w:sz w:val="20"/>
                <w:szCs w:val="20"/>
              </w:rPr>
              <w:t xml:space="preserve">Eje temático</w:t>
            </w:r>
          </w:p>
        </w:tc>
        <w:tc>
          <w:tcPr>
            <w:tcMar>
              <w:top w:type="dxa" w:w="60"/>
              <w:left w:type="dxa" w:w="100"/>
              <w:bottom w:type="dxa" w:w="60"/>
              <w:right w:type="dxa" w:w="100"/>
            </w:tcMar>
          </w:tcPr>
          <w:p>
            <w:pPr>
              <w:jc w:val="left"/>
            </w:pPr>
            <w:r>
              <w:rPr>
                <w:b w:val="false"/>
                <w:bCs w:val="false"/>
                <w:sz w:val="20"/>
                <w:szCs w:val="20"/>
              </w:rPr>
              <w:t xml:space="preserve">Medio Ambiente</w:t>
            </w:r>
          </w:p>
        </w:tc>
      </w:tr>
      <w:tr>
        <w:tc>
          <w:tcPr>
            <w:shd w:fill="D9E2F3" w:val="clear"/>
            <w:tcMar>
              <w:top w:type="dxa" w:w="60"/>
              <w:left w:type="dxa" w:w="100"/>
              <w:bottom w:type="dxa" w:w="60"/>
              <w:right w:type="dxa" w:w="100"/>
            </w:tcMar>
          </w:tcPr>
          <w:p>
            <w:pPr>
              <w:jc w:val="left"/>
            </w:pPr>
            <w:r>
              <w:rPr>
                <w:b/>
                <w:bCs/>
                <w:sz w:val="20"/>
                <w:szCs w:val="20"/>
              </w:rPr>
              <w:t xml:space="preserve">Sprint</w:t>
            </w:r>
          </w:p>
        </w:tc>
        <w:tc>
          <w:tcPr>
            <w:tcMar>
              <w:top w:type="dxa" w:w="60"/>
              <w:left w:type="dxa" w:w="100"/>
              <w:bottom w:type="dxa" w:w="60"/>
              <w:right w:type="dxa" w:w="100"/>
            </w:tcMar>
          </w:tcPr>
          <w:p>
            <w:pPr>
              <w:jc w:val="left"/>
            </w:pPr>
            <w:r>
              <w:rPr>
                <w:b w:val="false"/>
                <w:bCs w:val="false"/>
                <w:sz w:val="20"/>
                <w:szCs w:val="20"/>
              </w:rPr>
              <w:t xml:space="preserve">Sprint 1 (29/09/2026 – 05/10/2026)</w:t>
            </w:r>
          </w:p>
        </w:tc>
      </w:tr>
      <w:tr>
        <w:tc>
          <w:tcPr>
            <w:shd w:fill="D9E2F3" w:val="clear"/>
            <w:tcMar>
              <w:top w:type="dxa" w:w="60"/>
              <w:left w:type="dxa" w:w="100"/>
              <w:bottom w:type="dxa" w:w="60"/>
              <w:right w:type="dxa" w:w="100"/>
            </w:tcMar>
          </w:tcPr>
          <w:p>
            <w:pPr>
              <w:jc w:val="left"/>
            </w:pPr>
            <w:r>
              <w:rPr>
                <w:b/>
                <w:bCs/>
                <w:sz w:val="20"/>
                <w:szCs w:val="20"/>
              </w:rPr>
              <w:t xml:space="preserve">Fecha del informe</w:t>
            </w:r>
          </w:p>
        </w:tc>
        <w:tc>
          <w:tcPr>
            <w:tcMar>
              <w:top w:type="dxa" w:w="60"/>
              <w:left w:type="dxa" w:w="100"/>
              <w:bottom w:type="dxa" w:w="60"/>
              <w:right w:type="dxa" w:w="100"/>
            </w:tcMar>
          </w:tcPr>
          <w:p>
            <w:pPr>
              <w:jc w:val="left"/>
            </w:pPr>
            <w:r>
              <w:rPr>
                <w:b w:val="false"/>
                <w:bCs w:val="false"/>
                <w:sz w:val="20"/>
                <w:szCs w:val="20"/>
              </w:rPr>
              <w:t xml:space="preserve">4 de octubre de 2026</w:t>
            </w:r>
          </w:p>
        </w:tc>
      </w:tr>
      <w:tr>
        <w:tc>
          <w:tcPr>
            <w:shd w:fill="D9E2F3" w:val="clear"/>
            <w:tcMar>
              <w:top w:type="dxa" w:w="60"/>
              <w:left w:type="dxa" w:w="100"/>
              <w:bottom w:type="dxa" w:w="60"/>
              <w:right w:type="dxa" w:w="100"/>
            </w:tcMar>
          </w:tcPr>
          <w:p>
            <w:pPr>
              <w:jc w:val="left"/>
            </w:pPr>
            <w:r>
              <w:rPr>
                <w:b/>
                <w:bCs/>
                <w:sz w:val="20"/>
                <w:szCs w:val="20"/>
              </w:rPr>
              <w:t xml:space="preserve">Integrantes</w:t>
            </w:r>
          </w:p>
        </w:tc>
        <w:tc>
          <w:tcPr>
            <w:tcMar>
              <w:top w:type="dxa" w:w="60"/>
              <w:left w:type="dxa" w:w="100"/>
              <w:bottom w:type="dxa" w:w="60"/>
              <w:right w:type="dxa" w:w="100"/>
            </w:tcMar>
          </w:tcPr>
          <w:p>
            <w:pPr>
              <w:jc w:val="left"/>
            </w:pPr>
            <w:r>
              <w:rPr>
                <w:b w:val="false"/>
                <w:bCs w:val="false"/>
                <w:sz w:val="20"/>
                <w:szCs w:val="20"/>
              </w:rPr>
              <w:t xml:space="preserve">Jonatan · Pilar · Laura</w:t>
            </w:r>
          </w:p>
        </w:tc>
      </w:tr>
    </w:tbl>
    <w:p>
      <w:pPr>
        <w:spacing w:after="200"/>
      </w:pPr>
    </w:p>
    <w:p>
      <w:pPr>
        <w:pStyle w:val="Heading1"/>
        <w:pBdr>
          <w:bottom w:val="single" w:color="1F3864" w:sz="6" w:space="4"/>
        </w:pBdr>
        <w:spacing w:after="160" w:before="320"/>
      </w:pPr>
      <w:r>
        <w:rPr>
          <w:b/>
          <w:bCs/>
          <w:color w:val="1F3864"/>
          <w:sz w:val="28"/>
          <w:szCs w:val="28"/>
        </w:rPr>
        <w:t xml:space="preserve">1. Introducción y objetivo del Sprint 1</w:t>
      </w:r>
    </w:p>
    <w:p>
      <w:pPr>
        <w:spacing w:after="140" w:line="276"/>
      </w:pPr>
      <w:r>
        <w:rPr>
          <w:sz w:val="22"/>
          <w:szCs w:val="22"/>
        </w:rPr>
        <w:t xml:space="preserve">Este informe resume el trabajo realizado por el equipo 2 — Ambiente durante el Sprint 1 del proyecto "Análisis de Incendios Forestales en Argentina: distribución, evolución e impacto ambiental", con foco particular en la región patagónica y en el caso de Tierra del Fuego.</w:t>
      </w:r>
    </w:p>
    <w:p>
      <w:pPr>
        <w:spacing w:after="140" w:line="276"/>
      </w:pPr>
      <w:r>
        <w:rPr>
          <w:sz w:val="22"/>
          <w:szCs w:val="22"/>
        </w:rPr>
        <w:t xml:space="preserve">El objetivo del Sprint 1 fue comprender el problema y el dominio de trabajo, relevar y documentar los datasets disponibles, formular y acotar las preguntas de análisis, y realizar un Análisis Exploratorio de Datos (EDA) inicial que permita planificar los Sprints siguientes con base en evidencia.</w:t>
      </w:r>
    </w:p>
    <w:p>
      <w:pPr>
        <w:pStyle w:val="Heading1"/>
        <w:pBdr>
          <w:bottom w:val="single" w:color="1F3864" w:sz="6" w:space="4"/>
        </w:pBdr>
        <w:spacing w:after="160" w:before="320"/>
      </w:pPr>
      <w:r>
        <w:rPr>
          <w:b/>
          <w:bCs/>
          <w:color w:val="1F3864"/>
          <w:sz w:val="28"/>
          <w:szCs w:val="28"/>
        </w:rPr>
        <w:t xml:space="preserve">2. Comprensión del problema y del dominio</w:t>
      </w:r>
    </w:p>
    <w:p>
      <w:pPr>
        <w:spacing w:after="140" w:line="276"/>
      </w:pPr>
      <w:r>
        <w:rPr>
          <w:sz w:val="22"/>
          <w:szCs w:val="22"/>
        </w:rPr>
        <w:t xml:space="preserve">El proyecto estudia el comportamiento ecológico y regional de los incendios forestales en Argentina. Se evalúa estadísticamente la relación entre la frecuencia de focos de calor y la magnitud de la superficie quemada, y se construye una perspectiva espacio-temporal sobre su variabilidad e impacto, con énfasis en la comparación entre la Patagonia y el resto de las regiones del país.</w:t>
      </w:r>
    </w:p>
    <w:p>
      <w:pPr>
        <w:pStyle w:val="Heading2"/>
        <w:spacing w:after="120" w:before="240"/>
      </w:pPr>
      <w:r>
        <w:rPr>
          <w:b/>
          <w:bCs/>
          <w:color w:val="1F3864"/>
          <w:sz w:val="24"/>
          <w:szCs w:val="24"/>
        </w:rPr>
        <w:t xml:space="preserve">2.1 Glosario de términos clave</w:t>
      </w:r>
    </w:p>
    <w:p>
      <w:pPr>
        <w:pStyle w:val="ListParagraph"/>
        <w:numPr>
          <w:ilvl w:val="0"/>
          <w:numId w:val="2"/>
        </w:numPr>
        <w:spacing w:after="100" w:line="276"/>
      </w:pPr>
      <w:r>
        <w:rPr>
          <w:b/>
          <w:bCs/>
          <w:sz w:val="22"/>
          <w:szCs w:val="22"/>
        </w:rPr>
        <w:t xml:space="preserve">Incendio forestal: </w:t>
      </w:r>
      <w:r>
        <w:rPr>
          <w:sz w:val="22"/>
          <w:szCs w:val="22"/>
        </w:rPr>
        <w:t xml:space="preserve">evento de fuego reportado oficialmente sobre cobertura vegetal.</w:t>
      </w:r>
    </w:p>
    <w:p>
      <w:pPr>
        <w:pStyle w:val="ListParagraph"/>
        <w:numPr>
          <w:ilvl w:val="0"/>
          <w:numId w:val="2"/>
        </w:numPr>
        <w:spacing w:after="100" w:line="276"/>
      </w:pPr>
      <w:r>
        <w:rPr>
          <w:b/>
          <w:bCs/>
          <w:sz w:val="22"/>
          <w:szCs w:val="22"/>
        </w:rPr>
        <w:t xml:space="preserve">Foco de calor: </w:t>
      </w:r>
      <w:r>
        <w:rPr>
          <w:sz w:val="22"/>
          <w:szCs w:val="22"/>
        </w:rPr>
        <w:t xml:space="preserve">anomalía térmica detectada por satélite; indicador de actividad o riesgo de fuego activo, no necesariamente un incendio confirmado.</w:t>
      </w:r>
    </w:p>
    <w:p>
      <w:pPr>
        <w:pStyle w:val="ListParagraph"/>
        <w:numPr>
          <w:ilvl w:val="0"/>
          <w:numId w:val="2"/>
        </w:numPr>
        <w:spacing w:after="100" w:line="276"/>
      </w:pPr>
      <w:r>
        <w:rPr>
          <w:b/>
          <w:bCs/>
          <w:sz w:val="22"/>
          <w:szCs w:val="22"/>
        </w:rPr>
        <w:t xml:space="preserve">Superficie afectada / área quemada: </w:t>
      </w:r>
      <w:r>
        <w:rPr>
          <w:sz w:val="22"/>
          <w:szCs w:val="22"/>
        </w:rPr>
        <w:t xml:space="preserve">extensión de terreno, en hectáreas, destruida o dañada por el fuego.</w:t>
      </w:r>
    </w:p>
    <w:p>
      <w:pPr>
        <w:pStyle w:val="ListParagraph"/>
        <w:numPr>
          <w:ilvl w:val="0"/>
          <w:numId w:val="2"/>
        </w:numPr>
        <w:spacing w:after="100" w:line="276"/>
      </w:pPr>
      <w:r>
        <w:rPr>
          <w:b/>
          <w:bCs/>
          <w:sz w:val="22"/>
          <w:szCs w:val="22"/>
        </w:rPr>
        <w:t xml:space="preserve">Severidad: </w:t>
      </w:r>
      <w:r>
        <w:rPr>
          <w:sz w:val="22"/>
          <w:szCs w:val="22"/>
        </w:rPr>
        <w:t xml:space="preserve">relación entre la magnitud del daño (hectáreas) y la cantidad de eventos registrados.</w:t>
      </w:r>
    </w:p>
    <w:p>
      <w:pPr>
        <w:pStyle w:val="Heading2"/>
        <w:spacing w:after="120" w:before="240"/>
      </w:pPr>
      <w:r>
        <w:rPr>
          <w:b/>
          <w:bCs/>
          <w:color w:val="1F3864"/>
          <w:sz w:val="24"/>
          <w:szCs w:val="24"/>
        </w:rPr>
        <w:t xml:space="preserve">2.2 Factores externos considerados</w:t>
      </w:r>
    </w:p>
    <w:p>
      <w:pPr>
        <w:pStyle w:val="ListParagraph"/>
        <w:numPr>
          <w:ilvl w:val="0"/>
          <w:numId w:val="2"/>
        </w:numPr>
        <w:spacing w:after="100" w:line="276"/>
      </w:pPr>
      <w:r>
        <w:rPr>
          <w:sz w:val="22"/>
          <w:szCs w:val="22"/>
        </w:rPr>
        <w:t xml:space="preserve">Cambios en la tecnología satelital de detección, que pueden alterar la cantidad de focos registrados entre períodos.</w:t>
      </w:r>
    </w:p>
    <w:p>
      <w:pPr>
        <w:pStyle w:val="ListParagraph"/>
        <w:numPr>
          <w:ilvl w:val="0"/>
          <w:numId w:val="2"/>
        </w:numPr>
        <w:spacing w:after="100" w:line="276"/>
      </w:pPr>
      <w:r>
        <w:rPr>
          <w:sz w:val="22"/>
          <w:szCs w:val="22"/>
        </w:rPr>
        <w:t xml:space="preserve">Interferencias atmosféricas (nubes, humo) que impiden temporalmente la captura satelital de datos.</w:t>
      </w:r>
    </w:p>
    <w:p>
      <w:pPr>
        <w:pStyle w:val="ListParagraph"/>
        <w:numPr>
          <w:ilvl w:val="0"/>
          <w:numId w:val="2"/>
        </w:numPr>
        <w:spacing w:after="100" w:line="276"/>
      </w:pPr>
      <w:r>
        <w:rPr>
          <w:sz w:val="22"/>
          <w:szCs w:val="22"/>
        </w:rPr>
        <w:t xml:space="preserve">Afluencia turística, que puede coincidir con picos de uso de fuego en temporada alta.</w:t>
      </w:r>
    </w:p>
    <w:p>
      <w:pPr>
        <w:pStyle w:val="ListParagraph"/>
        <w:numPr>
          <w:ilvl w:val="0"/>
          <w:numId w:val="2"/>
        </w:numPr>
        <w:spacing w:after="100" w:line="276"/>
      </w:pPr>
      <w:r>
        <w:rPr>
          <w:sz w:val="22"/>
          <w:szCs w:val="22"/>
        </w:rPr>
        <w:t xml:space="preserve">Marcos normativos y cambios en los criterios de reporte de datos oficiales.</w:t>
      </w:r>
    </w:p>
    <w:p>
      <w:pPr>
        <w:pStyle w:val="Heading2"/>
        <w:spacing w:after="120" w:before="240"/>
      </w:pPr>
      <w:r>
        <w:rPr>
          <w:b/>
          <w:bCs/>
          <w:color w:val="1F3864"/>
          <w:sz w:val="24"/>
          <w:szCs w:val="24"/>
        </w:rPr>
        <w:t xml:space="preserve">2.3 Alcance y enfoque</w:t>
      </w:r>
    </w:p>
    <w:p>
      <w:pPr>
        <w:spacing w:after="140" w:line="276"/>
      </w:pPr>
      <w:r>
        <w:rPr>
          <w:sz w:val="22"/>
          <w:szCs w:val="22"/>
        </w:rPr>
        <w:t xml:space="preserve">La cobertura territorial abarca todas las provincias de Argentina, con foco específico en la región Patagónica. El enfoque adoptado combina una perspectiva estadística, ecológica, regional y espacio-temporal para evaluar la severidad e impacto del fuego.</w:t>
      </w:r>
    </w:p>
    <w:p>
      <w:pPr>
        <w:spacing w:after="140" w:line="276"/>
      </w:pPr>
      <w:r>
        <w:rPr>
          <w:sz w:val="22"/>
          <w:szCs w:val="22"/>
        </w:rPr>
        <w:t xml:space="preserve">Como limitación identificada en esta etapa, el listado inicial de diez preguntas de análisis presentaba un alto grado de redundancia, lo que requirió un proceso de depuración para evitar repetir las mismas variables bajo distintas formulaciones (ver sección 3).</w:t>
      </w:r>
    </w:p>
    <w:p>
      <w:pPr>
        <w:pStyle w:val="Heading1"/>
        <w:pBdr>
          <w:bottom w:val="single" w:color="1F3864" w:sz="6" w:space="4"/>
        </w:pBdr>
        <w:spacing w:after="160" w:before="320"/>
      </w:pPr>
      <w:r>
        <w:rPr>
          <w:b/>
          <w:bCs/>
          <w:color w:val="1F3864"/>
          <w:sz w:val="28"/>
          <w:szCs w:val="28"/>
        </w:rPr>
        <w:t xml:space="preserve">3. Preguntas de investigación</w:t>
      </w:r>
    </w:p>
    <w:p>
      <w:pPr>
        <w:spacing w:after="140" w:line="276"/>
      </w:pPr>
      <w:r>
        <w:rPr>
          <w:sz w:val="22"/>
          <w:szCs w:val="22"/>
        </w:rPr>
        <w:t xml:space="preserve">A partir del análisis del dominio y de una primera revisión de los datasets, el equipo formuló diez preguntas de análisis y seleccionó tres como preguntas principales, por cubrir dimensiones complementarias del problema sin redundancias:</w:t>
      </w:r>
    </w:p>
    <w:p>
      <w:pPr>
        <w:pStyle w:val="ListParagraph"/>
        <w:numPr>
          <w:ilvl w:val="0"/>
          <w:numId w:val="2"/>
        </w:numPr>
        <w:spacing w:after="100" w:line="276"/>
      </w:pPr>
      <w:r>
        <w:rPr>
          <w:b/>
          <w:bCs/>
          <w:sz w:val="22"/>
          <w:szCs w:val="22"/>
        </w:rPr>
        <w:t xml:space="preserve">1. </w:t>
      </w:r>
      <w:r>
        <w:rPr>
          <w:sz w:val="22"/>
          <w:szCs w:val="22"/>
        </w:rPr>
        <w:t xml:space="preserve">¿Cómo se comportan los incendios forestales en la Patagonia en comparación con otras provincias de Argentina?</w:t>
      </w:r>
    </w:p>
    <w:p>
      <w:pPr>
        <w:pStyle w:val="ListParagraph"/>
        <w:numPr>
          <w:ilvl w:val="0"/>
          <w:numId w:val="2"/>
        </w:numPr>
        <w:spacing w:after="100" w:line="276"/>
      </w:pPr>
      <w:r>
        <w:rPr>
          <w:b/>
          <w:bCs/>
          <w:sz w:val="22"/>
          <w:szCs w:val="22"/>
        </w:rPr>
        <w:t xml:space="preserve">2. </w:t>
      </w:r>
      <w:r>
        <w:rPr>
          <w:sz w:val="22"/>
          <w:szCs w:val="22"/>
        </w:rPr>
        <w:t xml:space="preserve">¿Qué relación existe entre la cantidad de incendios forestales y la superficie afectada en las distintas provincias de Argentina?</w:t>
      </w:r>
    </w:p>
    <w:p>
      <w:pPr>
        <w:pStyle w:val="ListParagraph"/>
        <w:numPr>
          <w:ilvl w:val="0"/>
          <w:numId w:val="2"/>
        </w:numPr>
        <w:spacing w:after="100" w:line="276"/>
      </w:pPr>
      <w:r>
        <w:rPr>
          <w:b/>
          <w:bCs/>
          <w:sz w:val="22"/>
          <w:szCs w:val="22"/>
        </w:rPr>
        <w:t xml:space="preserve">3. </w:t>
      </w:r>
      <w:r>
        <w:rPr>
          <w:sz w:val="22"/>
          <w:szCs w:val="22"/>
        </w:rPr>
        <w:t xml:space="preserve">¿Cómo varían los incendios forestales en Argentina según la provincia y el año, y qué impacto tienen en la superficie afectada?</w:t>
      </w:r>
    </w:p>
    <w:p>
      <w:pPr>
        <w:spacing w:after="140" w:line="276"/>
      </w:pPr>
      <w:r>
        <w:rPr>
          <w:sz w:val="22"/>
          <w:szCs w:val="22"/>
        </w:rPr>
        <w:t xml:space="preserve">Justificación de la selección: las tres preguntas abordan la problemática desde dimensiones complementarias — comportamiento regional (Patagonia frente al resto del país), relación entre frecuencia y severidad (incendios vs. superficie afectada), y variabilidad espacio-temporal (provincia y año) — garantizando un estudio integral sin duplicar variables. Además, son viables con los datasets disponibles (nacional, regional y local en Tierra del Fuego) sin requerir fuentes adicionales, y tienen aplicación concreta para priorizar políticas de prevención.</w:t>
      </w:r>
    </w:p>
    <w:p>
      <w:pPr>
        <w:pStyle w:val="Heading1"/>
        <w:pBdr>
          <w:bottom w:val="single" w:color="1F3864" w:sz="6" w:space="4"/>
        </w:pBdr>
        <w:spacing w:after="160" w:before="320"/>
      </w:pPr>
      <w:r>
        <w:rPr>
          <w:b/>
          <w:bCs/>
          <w:color w:val="1F3864"/>
          <w:sz w:val="28"/>
          <w:szCs w:val="28"/>
        </w:rPr>
        <w:t xml:space="preserve">4. Datos disponibles</w:t>
      </w:r>
    </w:p>
    <w:p>
      <w:pPr>
        <w:spacing w:after="140" w:line="276"/>
      </w:pPr>
      <w:r>
        <w:rPr>
          <w:sz w:val="22"/>
          <w:szCs w:val="22"/>
        </w:rPr>
        <w:t xml:space="preserve">Se relevaron y documentaron seis fuentes de datos en el Diccionario de Datos del proyecto, provenientes de datos.gob.ar y del catálogo geográfico de la provincia de Tierra del Fuego: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val="clear"/>
            <w:tcMar>
              <w:top w:type="dxa" w:w="60"/>
              <w:left w:type="dxa" w:w="100"/>
              <w:bottom w:type="dxa" w:w="60"/>
              <w:right w:type="dxa" w:w="100"/>
            </w:tcMar>
          </w:tcPr>
          <w:p>
            <w:pPr>
              <w:jc w:val="left"/>
            </w:pPr>
            <w:r>
              <w:rPr>
                <w:b/>
                <w:bCs/>
                <w:color w:val="FFFFFF"/>
                <w:sz w:val="20"/>
                <w:szCs w:val="20"/>
              </w:rPr>
              <w:t xml:space="preserve">Tabla</w:t>
            </w:r>
          </w:p>
        </w:tc>
        <w:tc>
          <w:tcPr>
            <w:shd w:fill="1F3864" w:val="clear"/>
            <w:tcMar>
              <w:top w:type="dxa" w:w="60"/>
              <w:left w:type="dxa" w:w="100"/>
              <w:bottom w:type="dxa" w:w="60"/>
              <w:right w:type="dxa" w:w="100"/>
            </w:tcMar>
          </w:tcPr>
          <w:p>
            <w:pPr>
              <w:jc w:val="left"/>
            </w:pPr>
            <w:r>
              <w:rPr>
                <w:b/>
                <w:bCs/>
                <w:color w:val="FFFFFF"/>
                <w:sz w:val="20"/>
                <w:szCs w:val="20"/>
              </w:rPr>
              <w:t xml:space="preserve">Tamaño</w:t>
            </w:r>
          </w:p>
        </w:tc>
        <w:tc>
          <w:tcPr>
            <w:shd w:fill="1F3864" w:val="clear"/>
            <w:tcMar>
              <w:top w:type="dxa" w:w="60"/>
              <w:left w:type="dxa" w:w="100"/>
              <w:bottom w:type="dxa" w:w="60"/>
              <w:right w:type="dxa" w:w="100"/>
            </w:tcMar>
          </w:tcPr>
          <w:p>
            <w:pPr>
              <w:jc w:val="left"/>
            </w:pPr>
            <w:r>
              <w:rPr>
                <w:b/>
                <w:bCs/>
                <w:color w:val="FFFFFF"/>
                <w:sz w:val="20"/>
                <w:szCs w:val="20"/>
              </w:rPr>
              <w:t xml:space="preserve">Contenido</w:t>
            </w:r>
          </w:p>
        </w:tc>
      </w:tr>
      <w:tr>
        <w:tc>
          <w:tcPr>
            <w:tcMar>
              <w:top w:type="dxa" w:w="60"/>
              <w:left w:type="dxa" w:w="100"/>
              <w:bottom w:type="dxa" w:w="60"/>
              <w:right w:type="dxa" w:w="100"/>
            </w:tcMar>
          </w:tcPr>
          <w:p>
            <w:pPr>
              <w:jc w:val="left"/>
            </w:pPr>
            <w:r>
              <w:rPr>
                <w:b w:val="false"/>
                <w:bCs w:val="false"/>
                <w:sz w:val="20"/>
                <w:szCs w:val="20"/>
              </w:rPr>
              <w:t xml:space="preserve">cant_total_focos_año</w:t>
            </w:r>
          </w:p>
        </w:tc>
        <w:tc>
          <w:tcPr>
            <w:tcMar>
              <w:top w:type="dxa" w:w="60"/>
              <w:left w:type="dxa" w:w="100"/>
              <w:bottom w:type="dxa" w:w="60"/>
              <w:right w:type="dxa" w:w="100"/>
            </w:tcMar>
          </w:tcPr>
          <w:p>
            <w:pPr>
              <w:jc w:val="left"/>
            </w:pPr>
            <w:r>
              <w:rPr>
                <w:b w:val="false"/>
                <w:bCs w:val="false"/>
                <w:sz w:val="20"/>
                <w:szCs w:val="20"/>
              </w:rPr>
              <w:t xml:space="preserve">12 registros · 2 variables</w:t>
            </w:r>
          </w:p>
        </w:tc>
        <w:tc>
          <w:tcPr>
            <w:tcMar>
              <w:top w:type="dxa" w:w="60"/>
              <w:left w:type="dxa" w:w="100"/>
              <w:bottom w:type="dxa" w:w="60"/>
              <w:right w:type="dxa" w:w="100"/>
            </w:tcMar>
          </w:tcPr>
          <w:p>
            <w:pPr>
              <w:jc w:val="left"/>
            </w:pPr>
            <w:r>
              <w:rPr>
                <w:b w:val="false"/>
                <w:bCs w:val="false"/>
                <w:sz w:val="20"/>
                <w:szCs w:val="20"/>
              </w:rPr>
              <w:t xml:space="preserve">Histórico anual nacional de focos de calor (2015–2026).</w:t>
            </w:r>
          </w:p>
        </w:tc>
      </w:tr>
      <w:tr>
        <w:tc>
          <w:tcPr>
            <w:shd w:fill="D9E2F3" w:val="clear"/>
            <w:tcMar>
              <w:top w:type="dxa" w:w="60"/>
              <w:left w:type="dxa" w:w="100"/>
              <w:bottom w:type="dxa" w:w="60"/>
              <w:right w:type="dxa" w:w="100"/>
            </w:tcMar>
          </w:tcPr>
          <w:p>
            <w:pPr>
              <w:jc w:val="left"/>
            </w:pPr>
            <w:r>
              <w:rPr>
                <w:b w:val="false"/>
                <w:bCs w:val="false"/>
                <w:sz w:val="20"/>
                <w:szCs w:val="20"/>
              </w:rPr>
              <w:t xml:space="preserve">cant_focos_prov_mes_2015_2026</w:t>
            </w:r>
          </w:p>
        </w:tc>
        <w:tc>
          <w:tcPr>
            <w:shd w:fill="D9E2F3" w:val="clear"/>
            <w:tcMar>
              <w:top w:type="dxa" w:w="60"/>
              <w:left w:type="dxa" w:w="100"/>
              <w:bottom w:type="dxa" w:w="60"/>
              <w:right w:type="dxa" w:w="100"/>
            </w:tcMar>
          </w:tcPr>
          <w:p>
            <w:pPr>
              <w:jc w:val="left"/>
            </w:pPr>
            <w:r>
              <w:rPr>
                <w:b w:val="false"/>
                <w:bCs w:val="false"/>
                <w:sz w:val="20"/>
                <w:szCs w:val="20"/>
              </w:rPr>
              <w:t xml:space="preserve">288 registros · 15 variables</w:t>
            </w:r>
          </w:p>
        </w:tc>
        <w:tc>
          <w:tcPr>
            <w:shd w:fill="D9E2F3" w:val="clear"/>
            <w:tcMar>
              <w:top w:type="dxa" w:w="60"/>
              <w:left w:type="dxa" w:w="100"/>
              <w:bottom w:type="dxa" w:w="60"/>
              <w:right w:type="dxa" w:w="100"/>
            </w:tcMar>
          </w:tcPr>
          <w:p>
            <w:pPr>
              <w:jc w:val="left"/>
            </w:pPr>
            <w:r>
              <w:rPr>
                <w:b w:val="false"/>
                <w:bCs w:val="false"/>
                <w:sz w:val="20"/>
                <w:szCs w:val="20"/>
              </w:rPr>
              <w:t xml:space="preserve">Focos de calor mensuales por provincia (2015–2026).</w:t>
            </w:r>
          </w:p>
        </w:tc>
      </w:tr>
      <w:tr>
        <w:tc>
          <w:tcPr>
            <w:tcMar>
              <w:top w:type="dxa" w:w="60"/>
              <w:left w:type="dxa" w:w="100"/>
              <w:bottom w:type="dxa" w:w="60"/>
              <w:right w:type="dxa" w:w="100"/>
            </w:tcMar>
          </w:tcPr>
          <w:p>
            <w:pPr>
              <w:jc w:val="left"/>
            </w:pPr>
            <w:r>
              <w:rPr>
                <w:b w:val="false"/>
                <w:bCs w:val="false"/>
                <w:sz w:val="20"/>
                <w:szCs w:val="20"/>
              </w:rPr>
              <w:t xml:space="preserve">cant_hect_incen_prov_2017_2026</w:t>
            </w:r>
          </w:p>
        </w:tc>
        <w:tc>
          <w:tcPr>
            <w:tcMar>
              <w:top w:type="dxa" w:w="60"/>
              <w:left w:type="dxa" w:w="100"/>
              <w:bottom w:type="dxa" w:w="60"/>
              <w:right w:type="dxa" w:w="100"/>
            </w:tcMar>
          </w:tcPr>
          <w:p>
            <w:pPr>
              <w:jc w:val="left"/>
            </w:pPr>
            <w:r>
              <w:rPr>
                <w:b w:val="false"/>
                <w:bCs w:val="false"/>
                <w:sz w:val="20"/>
                <w:szCs w:val="20"/>
              </w:rPr>
              <w:t xml:space="preserve">25 registros · 11 variables</w:t>
            </w:r>
          </w:p>
        </w:tc>
        <w:tc>
          <w:tcPr>
            <w:tcMar>
              <w:top w:type="dxa" w:w="60"/>
              <w:left w:type="dxa" w:w="100"/>
              <w:bottom w:type="dxa" w:w="60"/>
              <w:right w:type="dxa" w:w="100"/>
            </w:tcMar>
          </w:tcPr>
          <w:p>
            <w:pPr>
              <w:jc w:val="left"/>
            </w:pPr>
            <w:r>
              <w:rPr>
                <w:b w:val="false"/>
                <w:bCs w:val="false"/>
                <w:sz w:val="20"/>
                <w:szCs w:val="20"/>
              </w:rPr>
              <w:t xml:space="preserve">Superficie quemada anual por provincia, en hectáreas (2017–2026).</w:t>
            </w:r>
          </w:p>
        </w:tc>
      </w:tr>
      <w:tr>
        <w:tc>
          <w:tcPr>
            <w:shd w:fill="D9E2F3" w:val="clear"/>
            <w:tcMar>
              <w:top w:type="dxa" w:w="60"/>
              <w:left w:type="dxa" w:w="100"/>
              <w:bottom w:type="dxa" w:w="60"/>
              <w:right w:type="dxa" w:w="100"/>
            </w:tcMar>
          </w:tcPr>
          <w:p>
            <w:pPr>
              <w:jc w:val="left"/>
            </w:pPr>
            <w:r>
              <w:rPr>
                <w:b w:val="false"/>
                <w:bCs w:val="false"/>
                <w:sz w:val="20"/>
                <w:szCs w:val="20"/>
              </w:rPr>
              <w:t xml:space="preserve">cant_incen_regi_2017_2026</w:t>
            </w:r>
          </w:p>
        </w:tc>
        <w:tc>
          <w:tcPr>
            <w:shd w:fill="D9E2F3" w:val="clear"/>
            <w:tcMar>
              <w:top w:type="dxa" w:w="60"/>
              <w:left w:type="dxa" w:w="100"/>
              <w:bottom w:type="dxa" w:w="60"/>
              <w:right w:type="dxa" w:w="100"/>
            </w:tcMar>
          </w:tcPr>
          <w:p>
            <w:pPr>
              <w:jc w:val="left"/>
            </w:pPr>
            <w:r>
              <w:rPr>
                <w:b w:val="false"/>
                <w:bCs w:val="false"/>
                <w:sz w:val="20"/>
                <w:szCs w:val="20"/>
              </w:rPr>
              <w:t xml:space="preserve">7 registros · 11 variables</w:t>
            </w:r>
          </w:p>
        </w:tc>
        <w:tc>
          <w:tcPr>
            <w:shd w:fill="D9E2F3" w:val="clear"/>
            <w:tcMar>
              <w:top w:type="dxa" w:w="60"/>
              <w:left w:type="dxa" w:w="100"/>
              <w:bottom w:type="dxa" w:w="60"/>
              <w:right w:type="dxa" w:w="100"/>
            </w:tcMar>
          </w:tcPr>
          <w:p>
            <w:pPr>
              <w:jc w:val="left"/>
            </w:pPr>
            <w:r>
              <w:rPr>
                <w:b w:val="false"/>
                <w:bCs w:val="false"/>
                <w:sz w:val="20"/>
                <w:szCs w:val="20"/>
              </w:rPr>
              <w:t xml:space="preserve">Cantidad de incendios por región geográfica (2017–2026).</w:t>
            </w:r>
          </w:p>
        </w:tc>
      </w:tr>
      <w:tr>
        <w:tc>
          <w:tcPr>
            <w:tcMar>
              <w:top w:type="dxa" w:w="60"/>
              <w:left w:type="dxa" w:w="100"/>
              <w:bottom w:type="dxa" w:w="60"/>
              <w:right w:type="dxa" w:w="100"/>
            </w:tcMar>
          </w:tcPr>
          <w:p>
            <w:pPr>
              <w:jc w:val="left"/>
            </w:pPr>
            <w:r>
              <w:rPr>
                <w:b w:val="false"/>
                <w:bCs w:val="false"/>
                <w:sz w:val="20"/>
                <w:szCs w:val="20"/>
              </w:rPr>
              <w:t xml:space="preserve">incendios_forestales_tdf</w:t>
            </w:r>
          </w:p>
        </w:tc>
        <w:tc>
          <w:tcPr>
            <w:tcMar>
              <w:top w:type="dxa" w:w="60"/>
              <w:left w:type="dxa" w:w="100"/>
              <w:bottom w:type="dxa" w:w="60"/>
              <w:right w:type="dxa" w:w="100"/>
            </w:tcMar>
          </w:tcPr>
          <w:p>
            <w:pPr>
              <w:jc w:val="left"/>
            </w:pPr>
            <w:r>
              <w:rPr>
                <w:b w:val="false"/>
                <w:bCs w:val="false"/>
                <w:sz w:val="20"/>
                <w:szCs w:val="20"/>
              </w:rPr>
              <w:t xml:space="preserve">387 registros · 7 variables</w:t>
            </w:r>
          </w:p>
        </w:tc>
        <w:tc>
          <w:tcPr>
            <w:tcMar>
              <w:top w:type="dxa" w:w="60"/>
              <w:left w:type="dxa" w:w="100"/>
              <w:bottom w:type="dxa" w:w="60"/>
              <w:right w:type="dxa" w:w="100"/>
            </w:tcMar>
          </w:tcPr>
          <w:p>
            <w:pPr>
              <w:jc w:val="left"/>
            </w:pPr>
            <w:r>
              <w:rPr>
                <w:b w:val="false"/>
                <w:bCs w:val="false"/>
                <w:sz w:val="20"/>
                <w:szCs w:val="20"/>
              </w:rPr>
              <w:t xml:space="preserve">Grandes incendios históricos de Tierra del Fuego, con Latitud/Longitud calculadas por el equipo.</w:t>
            </w:r>
          </w:p>
        </w:tc>
      </w:tr>
      <w:tr>
        <w:tc>
          <w:tcPr>
            <w:shd w:fill="D9E2F3" w:val="clear"/>
            <w:tcMar>
              <w:top w:type="dxa" w:w="60"/>
              <w:left w:type="dxa" w:w="100"/>
              <w:bottom w:type="dxa" w:w="60"/>
              <w:right w:type="dxa" w:w="100"/>
            </w:tcMar>
          </w:tcPr>
          <w:p>
            <w:pPr>
              <w:jc w:val="left"/>
            </w:pPr>
            <w:r>
              <w:rPr>
                <w:b w:val="false"/>
                <w:bCs w:val="false"/>
                <w:sz w:val="20"/>
                <w:szCs w:val="20"/>
              </w:rPr>
              <w:t xml:space="preserve">sitios_habilit_fuego</w:t>
            </w:r>
          </w:p>
        </w:tc>
        <w:tc>
          <w:tcPr>
            <w:shd w:fill="D9E2F3" w:val="clear"/>
            <w:tcMar>
              <w:top w:type="dxa" w:w="60"/>
              <w:left w:type="dxa" w:w="100"/>
              <w:bottom w:type="dxa" w:w="60"/>
              <w:right w:type="dxa" w:w="100"/>
            </w:tcMar>
          </w:tcPr>
          <w:p>
            <w:pPr>
              <w:jc w:val="left"/>
            </w:pPr>
            <w:r>
              <w:rPr>
                <w:b w:val="false"/>
                <w:bCs w:val="false"/>
                <w:sz w:val="20"/>
                <w:szCs w:val="20"/>
              </w:rPr>
              <w:t xml:space="preserve">22 registros · 6 variables</w:t>
            </w:r>
          </w:p>
        </w:tc>
        <w:tc>
          <w:tcPr>
            <w:shd w:fill="D9E2F3" w:val="clear"/>
            <w:tcMar>
              <w:top w:type="dxa" w:w="60"/>
              <w:left w:type="dxa" w:w="100"/>
              <w:bottom w:type="dxa" w:w="60"/>
              <w:right w:type="dxa" w:w="100"/>
            </w:tcMar>
          </w:tcPr>
          <w:p>
            <w:pPr>
              <w:jc w:val="left"/>
            </w:pPr>
            <w:r>
              <w:rPr>
                <w:b w:val="false"/>
                <w:bCs w:val="false"/>
                <w:sz w:val="20"/>
                <w:szCs w:val="20"/>
              </w:rPr>
              <w:t xml:space="preserve">Sitios habilitados para fuego controlado en Tierra del Fuego.</w:t>
            </w:r>
          </w:p>
        </w:tc>
      </w:tr>
    </w:tbl>
    <w:p>
      <w:pPr>
        <w:spacing w:after="160"/>
      </w:pPr>
    </w:p>
    <w:p>
      <w:pPr>
        <w:spacing w:after="140" w:line="276"/>
      </w:pPr>
      <w:r>
        <w:rPr>
          <w:sz w:val="22"/>
          <w:szCs w:val="22"/>
        </w:rPr>
        <w:t xml:space="preserve">El detalle de cada variable, tipo de dato, valores posibles y observaciones se encuentra documentado en el Diccionario de Datos del Proyecto Ambiente.</w:t>
      </w:r>
    </w:p>
    <w:p>
      <w:pPr>
        <w:pStyle w:val="Heading1"/>
        <w:pBdr>
          <w:bottom w:val="single" w:color="1F3864" w:sz="6" w:space="4"/>
        </w:pBdr>
        <w:spacing w:after="160" w:before="320"/>
      </w:pPr>
      <w:r>
        <w:rPr>
          <w:b/>
          <w:bCs/>
          <w:color w:val="1F3864"/>
          <w:sz w:val="28"/>
          <w:szCs w:val="28"/>
        </w:rPr>
        <w:t xml:space="preserve">5. Análisis Exploratorio de Datos (EDA Inicial)</w:t>
      </w:r>
    </w:p>
    <w:p>
      <w:pPr>
        <w:pStyle w:val="Heading2"/>
        <w:spacing w:after="120" w:before="240"/>
      </w:pPr>
      <w:r>
        <w:rPr>
          <w:b/>
          <w:bCs/>
          <w:color w:val="1F3864"/>
          <w:sz w:val="24"/>
          <w:szCs w:val="24"/>
        </w:rPr>
        <w:t xml:space="preserve">5.1 Preparación y calidad de datos</w:t>
      </w:r>
    </w:p>
    <w:p>
      <w:pPr>
        <w:spacing w:after="140" w:line="276"/>
      </w:pPr>
      <w:r>
        <w:rPr>
          <w:sz w:val="22"/>
          <w:szCs w:val="22"/>
        </w:rPr>
        <w:t xml:space="preserve">Durante la exploración se identificaron y documentaron los siguientes problemas de calidad, a corregir en profundidad en el Sprint 2:</w:t>
      </w:r>
    </w:p>
    <w:p>
      <w:pPr>
        <w:pStyle w:val="ListParagraph"/>
        <w:numPr>
          <w:ilvl w:val="0"/>
          <w:numId w:val="2"/>
        </w:numPr>
        <w:spacing w:after="100" w:line="276"/>
      </w:pPr>
      <w:r>
        <w:rPr>
          <w:b/>
          <w:bCs/>
          <w:sz w:val="22"/>
          <w:szCs w:val="22"/>
        </w:rPr>
        <w:t xml:space="preserve">Valores nulos: </w:t>
      </w:r>
      <w:r>
        <w:rPr>
          <w:sz w:val="22"/>
          <w:szCs w:val="22"/>
        </w:rPr>
        <w:t xml:space="preserve">la cadena "s/d" en cant_hect_incen_prov_2017_2026 se transformó en nulos reales para permitir el formato numérico. En incendios_forestales_tdf, 207 de 387 filas tienen id y año en 0 (dato no especificado en la fuente, no un error de carga).</w:t>
      </w:r>
    </w:p>
    <w:p>
      <w:pPr>
        <w:pStyle w:val="ListParagraph"/>
        <w:numPr>
          <w:ilvl w:val="0"/>
          <w:numId w:val="2"/>
        </w:numPr>
        <w:spacing w:after="100" w:line="276"/>
      </w:pPr>
      <w:r>
        <w:rPr>
          <w:b/>
          <w:bCs/>
          <w:sz w:val="22"/>
          <w:szCs w:val="22"/>
        </w:rPr>
        <w:t xml:space="preserve">Inconsistencias: </w:t>
      </w:r>
      <w:r>
        <w:rPr>
          <w:sz w:val="22"/>
          <w:szCs w:val="22"/>
        </w:rPr>
        <w:t xml:space="preserve">nombres de provincia no uniformes entre tablas (ej. "Santiago del Estero" vs. "Stgo. del Estero"), filas "Total" mezcladas con los datos por provincia/región, fechas guardadas como texto libre, espacios en blanco al final de nombres, y coordenadas locales en sistema proyectado (POSGAR94 / Gauss-Krüger) convertidas por el equipo a latitud/longitud (WGS84).</w:t>
      </w:r>
    </w:p>
    <w:p>
      <w:pPr>
        <w:pStyle w:val="ListParagraph"/>
        <w:numPr>
          <w:ilvl w:val="0"/>
          <w:numId w:val="2"/>
        </w:numPr>
        <w:spacing w:after="100" w:line="276"/>
      </w:pPr>
      <w:r>
        <w:rPr>
          <w:b/>
          <w:bCs/>
          <w:sz w:val="22"/>
          <w:szCs w:val="22"/>
        </w:rPr>
        <w:t xml:space="preserve">Duplicados: </w:t>
      </w:r>
      <w:r>
        <w:rPr>
          <w:sz w:val="22"/>
          <w:szCs w:val="22"/>
        </w:rPr>
        <w:t xml:space="preserve">se verificó mediante ogc_fid que los 22 sitios habilitados son entidades únicas, sin duplicados.</w:t>
      </w:r>
    </w:p>
    <w:p>
      <w:pPr>
        <w:pStyle w:val="ListParagraph"/>
        <w:numPr>
          <w:ilvl w:val="0"/>
          <w:numId w:val="2"/>
        </w:numPr>
        <w:spacing w:after="100" w:line="276"/>
      </w:pPr>
      <w:r>
        <w:rPr>
          <w:b/>
          <w:bCs/>
          <w:sz w:val="22"/>
          <w:szCs w:val="22"/>
        </w:rPr>
        <w:t xml:space="preserve">Otros: </w:t>
      </w:r>
      <w:r>
        <w:rPr>
          <w:sz w:val="22"/>
          <w:szCs w:val="22"/>
        </w:rPr>
        <w:t xml:space="preserve">el año 2026 presenta datos parciales (solo hasta febrero/marzo) en los datasets nacionales, por lo que no debe compararse como un año cerrado.</w:t>
      </w:r>
    </w:p>
    <w:p>
      <w:pPr>
        <w:pStyle w:val="Heading2"/>
        <w:spacing w:after="120" w:before="240"/>
      </w:pPr>
      <w:r>
        <w:rPr>
          <w:b/>
          <w:bCs/>
          <w:color w:val="1F3864"/>
          <w:sz w:val="24"/>
          <w:szCs w:val="24"/>
        </w:rPr>
        <w:t xml:space="preserve">5.2 Indicadores y filtros definidos</w:t>
      </w:r>
    </w:p>
    <w:p>
      <w:pPr>
        <w:spacing w:after="140" w:line="276"/>
      </w:pPr>
      <w:r>
        <w:rPr>
          <w:sz w:val="22"/>
          <w:szCs w:val="22"/>
        </w:rPr>
        <w:t xml:space="preserve">Se definieron los indicadores — total de incendios, superficie afectada, incendios por año/provincia, zonas más afectadas, principales causas, promedio de superficie por incendio, variación interanual, incendios normalizados por superficie provincial, severidad (hectáreas vs. focos confirmados), estacionalidad y ranking de provincias por superficie acumulada — junto con filtros disponibles por año, zona/provincia y causa.</w:t>
      </w:r>
    </w:p>
    <w:p>
      <w:pPr>
        <w:pStyle w:val="Heading2"/>
        <w:spacing w:after="120" w:before="240"/>
      </w:pPr>
      <w:r>
        <w:rPr>
          <w:b/>
          <w:bCs/>
          <w:color w:val="1F3864"/>
          <w:sz w:val="24"/>
          <w:szCs w:val="24"/>
        </w:rPr>
        <w:t xml:space="preserve">5.3 Visualizaciones exploratorias</w:t>
      </w:r>
    </w:p>
    <w:p>
      <w:pPr>
        <w:spacing w:after="140" w:line="276"/>
      </w:pPr>
      <w:r>
        <w:rPr>
          <w:sz w:val="22"/>
          <w:szCs w:val="22"/>
        </w:rPr>
        <w:t xml:space="preserve">Se diseñaron siete visualizaciones para responder a las tres preguntas seleccionadas:</w:t>
      </w:r>
    </w:p>
    <w:p>
      <w:pPr>
        <w:pStyle w:val="ListParagraph"/>
        <w:numPr>
          <w:ilvl w:val="0"/>
          <w:numId w:val="2"/>
        </w:numPr>
        <w:spacing w:after="100" w:line="276"/>
      </w:pPr>
      <w:r>
        <w:rPr>
          <w:sz w:val="22"/>
          <w:szCs w:val="22"/>
        </w:rPr>
        <w:t xml:space="preserve">Gráfico 1 — Barras agrupadas horizontales: compara el volumen de incendios de la Patagonia frente a otras regiones. (Pregunta 1)</w:t>
      </w:r>
    </w:p>
    <w:p>
      <w:pPr>
        <w:pStyle w:val="ListParagraph"/>
        <w:numPr>
          <w:ilvl w:val="0"/>
          <w:numId w:val="2"/>
        </w:numPr>
        <w:spacing w:after="100" w:line="276"/>
      </w:pPr>
      <w:r>
        <w:rPr>
          <w:sz w:val="22"/>
          <w:szCs w:val="22"/>
        </w:rPr>
        <w:t xml:space="preserve">Gráfico 2 — Mapa de calor mensual por provincia: muestra la estacionalidad del riesgo norte vs. sur. (Pregunta 1)</w:t>
      </w:r>
    </w:p>
    <w:p>
      <w:pPr>
        <w:pStyle w:val="ListParagraph"/>
        <w:numPr>
          <w:ilvl w:val="0"/>
          <w:numId w:val="2"/>
        </w:numPr>
        <w:spacing w:after="100" w:line="276"/>
      </w:pPr>
      <w:r>
        <w:rPr>
          <w:sz w:val="22"/>
          <w:szCs w:val="22"/>
        </w:rPr>
        <w:t xml:space="preserve">Gráfico 3 — Dispersión: cantidad de incendios vs. superficie afectada por provincia. (Pregunta 2)</w:t>
      </w:r>
    </w:p>
    <w:p>
      <w:pPr>
        <w:pStyle w:val="ListParagraph"/>
        <w:numPr>
          <w:ilvl w:val="0"/>
          <w:numId w:val="2"/>
        </w:numPr>
        <w:spacing w:after="100" w:line="276"/>
      </w:pPr>
      <w:r>
        <w:rPr>
          <w:sz w:val="22"/>
          <w:szCs w:val="22"/>
        </w:rPr>
        <w:t xml:space="preserve">Gráfico 4 — Líneas, histórico nacional de focos de calor por año. (Pregunta 2)</w:t>
      </w:r>
    </w:p>
    <w:p>
      <w:pPr>
        <w:pStyle w:val="ListParagraph"/>
        <w:numPr>
          <w:ilvl w:val="0"/>
          <w:numId w:val="2"/>
        </w:numPr>
        <w:spacing w:after="100" w:line="276"/>
      </w:pPr>
      <w:r>
        <w:rPr>
          <w:sz w:val="22"/>
          <w:szCs w:val="22"/>
        </w:rPr>
        <w:t xml:space="preserve">Gráfico 5 — Líneas, evolución local de superficie quemada en Tierra del Fuego. (Pregunta 3)</w:t>
      </w:r>
    </w:p>
    <w:p>
      <w:pPr>
        <w:pStyle w:val="ListParagraph"/>
        <w:numPr>
          <w:ilvl w:val="0"/>
          <w:numId w:val="2"/>
        </w:numPr>
        <w:spacing w:after="100" w:line="276"/>
      </w:pPr>
      <w:r>
        <w:rPr>
          <w:sz w:val="22"/>
          <w:szCs w:val="22"/>
        </w:rPr>
        <w:t xml:space="preserve">Gráfico 6 — Columnas apiladas: sitios habilitados por departamento, según uso/acceso. (Pregunta 3)</w:t>
      </w:r>
    </w:p>
    <w:p>
      <w:pPr>
        <w:pStyle w:val="ListParagraph"/>
        <w:numPr>
          <w:ilvl w:val="0"/>
          <w:numId w:val="2"/>
        </w:numPr>
        <w:spacing w:after="100" w:line="276"/>
      </w:pPr>
      <w:r>
        <w:rPr>
          <w:sz w:val="22"/>
          <w:szCs w:val="22"/>
        </w:rPr>
        <w:t xml:space="preserve">Mapa 7 — Mapa geográfico de los grandes incendios históricos de Tierra del Fuego. (Pregunta 3)</w:t>
      </w:r>
    </w:p>
    <w:p>
      <w:pPr>
        <w:pStyle w:val="Heading2"/>
        <w:spacing w:after="120" w:before="240"/>
      </w:pPr>
      <w:r>
        <w:rPr>
          <w:b/>
          <w:bCs/>
          <w:color w:val="1F3864"/>
          <w:sz w:val="24"/>
          <w:szCs w:val="24"/>
        </w:rPr>
        <w:t xml:space="preserve">5.4 Hallazgos principales</w:t>
      </w:r>
    </w:p>
    <w:p>
      <w:pPr>
        <w:pStyle w:val="ListParagraph"/>
        <w:numPr>
          <w:ilvl w:val="0"/>
          <w:numId w:val="2"/>
        </w:numPr>
        <w:spacing w:after="100" w:line="276"/>
      </w:pPr>
      <w:r>
        <w:rPr>
          <w:sz w:val="22"/>
          <w:szCs w:val="22"/>
        </w:rPr>
        <w:t xml:space="preserve">La cantidad de incendios por provincia no necesariamente coincide con la superficie afectada: hay provincias con pocos eventos pero de gran magnitud.</w:t>
      </w:r>
    </w:p>
    <w:p>
      <w:pPr>
        <w:pStyle w:val="ListParagraph"/>
        <w:numPr>
          <w:ilvl w:val="0"/>
          <w:numId w:val="2"/>
        </w:numPr>
        <w:spacing w:after="100" w:line="276"/>
      </w:pPr>
      <w:r>
        <w:rPr>
          <w:sz w:val="22"/>
          <w:szCs w:val="22"/>
        </w:rPr>
        <w:t xml:space="preserve">El incendio de 2022 en Tierra del Fuego ("Corazón de la Isla") alcanzó 6.587 ha, muy por encima del resto de los eventos históricos locales.</w:t>
      </w:r>
    </w:p>
    <w:p>
      <w:pPr>
        <w:pStyle w:val="ListParagraph"/>
        <w:numPr>
          <w:ilvl w:val="0"/>
          <w:numId w:val="2"/>
        </w:numPr>
        <w:spacing w:after="100" w:line="276"/>
      </w:pPr>
      <w:r>
        <w:rPr>
          <w:sz w:val="22"/>
          <w:szCs w:val="22"/>
        </w:rPr>
        <w:t xml:space="preserve">Los 22 sitios habilitados para fuego controlado en Tierra del Fuego no se distribuyen de manera uniforme entre los departamentos (Ushuaia, Río Grande, Tolhuin).</w:t>
      </w:r>
    </w:p>
    <w:p>
      <w:pPr>
        <w:pStyle w:val="ListParagraph"/>
        <w:numPr>
          <w:ilvl w:val="0"/>
          <w:numId w:val="2"/>
        </w:numPr>
        <w:spacing w:after="100" w:line="276"/>
      </w:pPr>
      <w:r>
        <w:rPr>
          <w:sz w:val="22"/>
          <w:szCs w:val="22"/>
        </w:rPr>
        <w:t xml:space="preserve">Los datos permiten distintos niveles de desagregación (anual, mensual, provincial, regional), habilitando comparaciones entre provincias/regiones y la profundización del caso de Tierra del Fuego.</w:t>
      </w:r>
    </w:p>
    <w:p>
      <w:pPr>
        <w:pStyle w:val="ListParagraph"/>
        <w:numPr>
          <w:ilvl w:val="0"/>
          <w:numId w:val="2"/>
        </w:numPr>
        <w:spacing w:after="100" w:line="276"/>
      </w:pPr>
      <w:r>
        <w:rPr>
          <w:sz w:val="22"/>
          <w:szCs w:val="22"/>
        </w:rPr>
        <w:t xml:space="preserve">Los datos de 2026 están incompletos (hasta febrero/marzo) y no reflejan el comportamiento real del año completo.</w:t>
      </w:r>
    </w:p>
    <w:p>
      <w:pPr>
        <w:pStyle w:val="Heading2"/>
        <w:spacing w:after="120" w:before="240"/>
      </w:pPr>
      <w:r>
        <w:rPr>
          <w:b/>
          <w:bCs/>
          <w:color w:val="1F3864"/>
          <w:sz w:val="24"/>
          <w:szCs w:val="24"/>
        </w:rPr>
        <w:t xml:space="preserve">5.5 Interpretación</w:t>
      </w:r>
    </w:p>
    <w:p>
      <w:pPr>
        <w:spacing w:after="140" w:line="276"/>
      </w:pPr>
      <w:r>
        <w:rPr>
          <w:sz w:val="22"/>
          <w:szCs w:val="22"/>
        </w:rPr>
        <w:t xml:space="preserve">Estos hallazgos sugieren que la severidad de un incendio (hectáreas afectadas) es un indicador tan relevante como su frecuencia, y que ambos deben analizarse en conjunto para priorizar políticas de prevención: una provincia con pocos incendios pero de gran magnitud puede requerir una respuesta distinta a una con muchos incendios pequeños. El caso de Tierra del Fuego en 2022 funcionará como referencia para dimensionar el riesgo ambiental extremo en la región, a comparar en el Sprint 2 con el resto de las provincias patagónicas. Por tratarse de datos parciales para 2026, cualquier conclusión sobre el año en curso se considera preliminar.</w:t>
      </w:r>
    </w:p>
    <w:p>
      <w:pPr>
        <w:pStyle w:val="Heading2"/>
        <w:spacing w:after="120" w:before="240"/>
      </w:pPr>
      <w:r>
        <w:rPr>
          <w:b/>
          <w:bCs/>
          <w:color w:val="1F3864"/>
          <w:sz w:val="24"/>
          <w:szCs w:val="24"/>
        </w:rPr>
        <w:t xml:space="preserve">5.6 Nuevas preguntas para el Sprint 2</w:t>
      </w:r>
    </w:p>
    <w:p>
      <w:pPr>
        <w:pStyle w:val="ListParagraph"/>
        <w:numPr>
          <w:ilvl w:val="0"/>
          <w:numId w:val="2"/>
        </w:numPr>
        <w:spacing w:after="100" w:line="276"/>
      </w:pPr>
      <w:r>
        <w:rPr>
          <w:sz w:val="22"/>
          <w:szCs w:val="22"/>
        </w:rPr>
        <w:t xml:space="preserve">¿Por qué algunos incendios presentan una superficie afectada mucho mayor que otros, aun cuando la cantidad de incendios no sea elevada?</w:t>
      </w:r>
    </w:p>
    <w:p>
      <w:pPr>
        <w:pStyle w:val="ListParagraph"/>
        <w:numPr>
          <w:ilvl w:val="0"/>
          <w:numId w:val="2"/>
        </w:numPr>
        <w:spacing w:after="100" w:line="276"/>
      </w:pPr>
      <w:r>
        <w:rPr>
          <w:sz w:val="22"/>
          <w:szCs w:val="22"/>
        </w:rPr>
        <w:t xml:space="preserve">¿Qué años presentan comportamientos excepcionales respecto de la superficie afectada por incendios?</w:t>
      </w:r>
    </w:p>
    <w:p>
      <w:pPr>
        <w:pStyle w:val="ListParagraph"/>
        <w:numPr>
          <w:ilvl w:val="0"/>
          <w:numId w:val="2"/>
        </w:numPr>
        <w:spacing w:after="100" w:line="276"/>
      </w:pPr>
      <w:r>
        <w:rPr>
          <w:sz w:val="22"/>
          <w:szCs w:val="22"/>
        </w:rPr>
        <w:t xml:space="preserve">¿Qué características tienen los incendios de mayor extensión registrados en Tierra del Fuego?</w:t>
      </w:r>
    </w:p>
    <w:p>
      <w:pPr>
        <w:pStyle w:val="ListParagraph"/>
        <w:numPr>
          <w:ilvl w:val="0"/>
          <w:numId w:val="2"/>
        </w:numPr>
        <w:spacing w:after="100" w:line="276"/>
      </w:pPr>
      <w:r>
        <w:rPr>
          <w:sz w:val="22"/>
          <w:szCs w:val="22"/>
        </w:rPr>
        <w:t xml:space="preserve">¿Se observan períodos del año en los que aumenta la cantidad de focos de calor en determinadas provincias?</w:t>
      </w:r>
    </w:p>
    <w:p>
      <w:pPr>
        <w:pStyle w:val="ListParagraph"/>
        <w:numPr>
          <w:ilvl w:val="0"/>
          <w:numId w:val="2"/>
        </w:numPr>
        <w:spacing w:after="100" w:line="276"/>
      </w:pPr>
      <w:r>
        <w:rPr>
          <w:sz w:val="22"/>
          <w:szCs w:val="22"/>
        </w:rPr>
        <w:t xml:space="preserve">¿La distribución de los sitios habilitados para el uso controlado del fuego presenta alguna relación con las zonas de incendios históricos en Tierra del Fuego?</w:t>
      </w:r>
    </w:p>
    <w:p>
      <w:pPr>
        <w:pStyle w:val="Heading1"/>
        <w:pBdr>
          <w:bottom w:val="single" w:color="1F3864" w:sz="6" w:space="4"/>
        </w:pBdr>
        <w:spacing w:after="160" w:before="320"/>
      </w:pPr>
      <w:r>
        <w:rPr>
          <w:b/>
          <w:bCs/>
          <w:color w:val="1F3864"/>
          <w:sz w:val="28"/>
          <w:szCs w:val="28"/>
        </w:rPr>
        <w:t xml:space="preserve">6. Estado de avance de los entregables del Sprint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F3864" w:val="clear"/>
            <w:tcMar>
              <w:top w:type="dxa" w:w="60"/>
              <w:left w:type="dxa" w:w="100"/>
              <w:bottom w:type="dxa" w:w="60"/>
              <w:right w:type="dxa" w:w="100"/>
            </w:tcMar>
          </w:tcPr>
          <w:p>
            <w:pPr>
              <w:jc w:val="left"/>
            </w:pPr>
            <w:r>
              <w:rPr>
                <w:b/>
                <w:bCs/>
                <w:color w:val="FFFFFF"/>
                <w:sz w:val="20"/>
                <w:szCs w:val="20"/>
              </w:rPr>
              <w:t xml:space="preserve">Entregable</w:t>
            </w:r>
          </w:p>
        </w:tc>
        <w:tc>
          <w:tcPr>
            <w:shd w:fill="1F3864" w:val="clear"/>
            <w:tcMar>
              <w:top w:type="dxa" w:w="60"/>
              <w:left w:type="dxa" w:w="100"/>
              <w:bottom w:type="dxa" w:w="60"/>
              <w:right w:type="dxa" w:w="100"/>
            </w:tcMar>
          </w:tcPr>
          <w:p>
            <w:pPr>
              <w:jc w:val="left"/>
            </w:pPr>
            <w:r>
              <w:rPr>
                <w:b/>
                <w:bCs/>
                <w:color w:val="FFFFFF"/>
                <w:sz w:val="20"/>
                <w:szCs w:val="20"/>
              </w:rPr>
              <w:t xml:space="preserve">Tarea</w:t>
            </w:r>
          </w:p>
        </w:tc>
        <w:tc>
          <w:tcPr>
            <w:shd w:fill="1F3864" w:val="clear"/>
            <w:tcMar>
              <w:top w:type="dxa" w:w="60"/>
              <w:left w:type="dxa" w:w="100"/>
              <w:bottom w:type="dxa" w:w="60"/>
              <w:right w:type="dxa" w:w="100"/>
            </w:tcMar>
          </w:tcPr>
          <w:p>
            <w:pPr>
              <w:jc w:val="left"/>
            </w:pPr>
            <w:r>
              <w:rPr>
                <w:b/>
                <w:bCs/>
                <w:color w:val="FFFFFF"/>
                <w:sz w:val="20"/>
                <w:szCs w:val="20"/>
              </w:rPr>
              <w:t xml:space="preserve">Responsable</w:t>
            </w:r>
          </w:p>
        </w:tc>
        <w:tc>
          <w:tcPr>
            <w:shd w:fill="1F3864" w:val="clear"/>
            <w:tcMar>
              <w:top w:type="dxa" w:w="60"/>
              <w:left w:type="dxa" w:w="100"/>
              <w:bottom w:type="dxa" w:w="60"/>
              <w:right w:type="dxa" w:w="100"/>
            </w:tcMar>
          </w:tcPr>
          <w:p>
            <w:pPr>
              <w:jc w:val="left"/>
            </w:pPr>
            <w:r>
              <w:rPr>
                <w:b/>
                <w:bCs/>
                <w:color w:val="FFFFFF"/>
                <w:sz w:val="20"/>
                <w:szCs w:val="20"/>
              </w:rPr>
              <w:t xml:space="preserve">Estado</w:t>
            </w:r>
          </w:p>
        </w:tc>
      </w:tr>
      <w:tr>
        <w:tc>
          <w:tcPr>
            <w:tcMar>
              <w:top w:type="dxa" w:w="60"/>
              <w:left w:type="dxa" w:w="100"/>
              <w:bottom w:type="dxa" w:w="60"/>
              <w:right w:type="dxa" w:w="100"/>
            </w:tcMar>
          </w:tcPr>
          <w:p>
            <w:pPr>
              <w:jc w:val="left"/>
            </w:pPr>
            <w:r>
              <w:rPr>
                <w:b w:val="false"/>
                <w:bCs w:val="false"/>
                <w:sz w:val="20"/>
                <w:szCs w:val="20"/>
              </w:rPr>
              <w:t xml:space="preserve">Organización del equipo</w:t>
            </w:r>
          </w:p>
        </w:tc>
        <w:tc>
          <w:tcPr>
            <w:tcMar>
              <w:top w:type="dxa" w:w="60"/>
              <w:left w:type="dxa" w:w="100"/>
              <w:bottom w:type="dxa" w:w="60"/>
              <w:right w:type="dxa" w:w="100"/>
            </w:tcMar>
          </w:tcPr>
          <w:p>
            <w:pPr>
              <w:jc w:val="left"/>
            </w:pPr>
            <w:r>
              <w:rPr>
                <w:b w:val="false"/>
                <w:bCs w:val="false"/>
                <w:sz w:val="20"/>
                <w:szCs w:val="20"/>
              </w:rPr>
              <w:t xml:space="preserve">Organizar el equipo</w:t>
            </w:r>
          </w:p>
        </w:tc>
        <w:tc>
          <w:tcPr>
            <w:tcMar>
              <w:top w:type="dxa" w:w="60"/>
              <w:left w:type="dxa" w:w="100"/>
              <w:bottom w:type="dxa" w:w="60"/>
              <w:right w:type="dxa" w:w="100"/>
            </w:tcMar>
          </w:tcPr>
          <w:p>
            <w:pPr>
              <w:jc w:val="left"/>
            </w:pPr>
            <w:r>
              <w:rPr>
                <w:b w:val="false"/>
                <w:bCs w:val="false"/>
                <w:sz w:val="20"/>
                <w:szCs w:val="20"/>
              </w:rPr>
              <w:t xml:space="preserve">Jonatan / Pilar / Laura</w:t>
            </w:r>
          </w:p>
        </w:tc>
        <w:tc>
          <w:tcPr>
            <w:tcMar>
              <w:top w:type="dxa" w:w="60"/>
              <w:left w:type="dxa" w:w="100"/>
              <w:bottom w:type="dxa" w:w="60"/>
              <w:right w:type="dxa" w:w="100"/>
            </w:tcMar>
          </w:tcPr>
          <w:p>
            <w:pPr>
              <w:jc w:val="left"/>
            </w:pPr>
            <w:r>
              <w:rPr>
                <w:b/>
                <w:bCs/>
                <w:color w:val="2E7D32"/>
                <w:sz w:val="20"/>
                <w:szCs w:val="20"/>
              </w:rPr>
              <w:t xml:space="preserve">Completado</w:t>
            </w:r>
          </w:p>
        </w:tc>
      </w:tr>
      <w:tr>
        <w:tc>
          <w:tcPr>
            <w:shd w:fill="D9E2F3" w:val="clear"/>
            <w:tcMar>
              <w:top w:type="dxa" w:w="60"/>
              <w:left w:type="dxa" w:w="100"/>
              <w:bottom w:type="dxa" w:w="60"/>
              <w:right w:type="dxa" w:w="100"/>
            </w:tcMar>
          </w:tcPr>
          <w:p>
            <w:pPr>
              <w:jc w:val="left"/>
            </w:pPr>
            <w:r>
              <w:rPr>
                <w:b w:val="false"/>
                <w:bCs w:val="false"/>
                <w:sz w:val="20"/>
                <w:szCs w:val="20"/>
              </w:rPr>
              <w:t xml:space="preserve">Diagrama de Gantt</w:t>
            </w:r>
          </w:p>
        </w:tc>
        <w:tc>
          <w:tcPr>
            <w:shd w:fill="D9E2F3" w:val="clear"/>
            <w:tcMar>
              <w:top w:type="dxa" w:w="60"/>
              <w:left w:type="dxa" w:w="100"/>
              <w:bottom w:type="dxa" w:w="60"/>
              <w:right w:type="dxa" w:w="100"/>
            </w:tcMar>
          </w:tcPr>
          <w:p>
            <w:pPr>
              <w:jc w:val="left"/>
            </w:pPr>
            <w:r>
              <w:rPr>
                <w:b w:val="false"/>
                <w:bCs w:val="false"/>
                <w:sz w:val="20"/>
                <w:szCs w:val="20"/>
              </w:rPr>
              <w:t xml:space="preserve">Planificar</w:t>
            </w:r>
          </w:p>
        </w:tc>
        <w:tc>
          <w:tcPr>
            <w:shd w:fill="D9E2F3" w:val="clear"/>
            <w:tcMar>
              <w:top w:type="dxa" w:w="60"/>
              <w:left w:type="dxa" w:w="100"/>
              <w:bottom w:type="dxa" w:w="60"/>
              <w:right w:type="dxa" w:w="100"/>
            </w:tcMar>
          </w:tcPr>
          <w:p>
            <w:pPr>
              <w:jc w:val="left"/>
            </w:pPr>
            <w:r>
              <w:rPr>
                <w:b w:val="false"/>
                <w:bCs w:val="false"/>
                <w:sz w:val="20"/>
                <w:szCs w:val="20"/>
              </w:rPr>
              <w:t xml:space="preserve">—</w:t>
            </w:r>
          </w:p>
        </w:tc>
        <w:tc>
          <w:tcPr>
            <w:shd w:fill="D9E2F3" w:val="clear"/>
            <w:tcMar>
              <w:top w:type="dxa" w:w="60"/>
              <w:left w:type="dxa" w:w="100"/>
              <w:bottom w:type="dxa" w:w="60"/>
              <w:right w:type="dxa" w:w="100"/>
            </w:tcMar>
          </w:tcPr>
          <w:p>
            <w:pPr>
              <w:jc w:val="left"/>
            </w:pPr>
            <w:r>
              <w:rPr>
                <w:b/>
                <w:bCs/>
                <w:color w:val="B8860B"/>
                <w:sz w:val="20"/>
                <w:szCs w:val="20"/>
              </w:rPr>
              <w:t xml:space="preserve">En curso</w:t>
            </w:r>
          </w:p>
        </w:tc>
      </w:tr>
      <w:tr>
        <w:tc>
          <w:tcPr>
            <w:tcMar>
              <w:top w:type="dxa" w:w="60"/>
              <w:left w:type="dxa" w:w="100"/>
              <w:bottom w:type="dxa" w:w="60"/>
              <w:right w:type="dxa" w:w="100"/>
            </w:tcMar>
          </w:tcPr>
          <w:p>
            <w:pPr>
              <w:jc w:val="left"/>
            </w:pPr>
            <w:r>
              <w:rPr>
                <w:b w:val="false"/>
                <w:bCs w:val="false"/>
                <w:sz w:val="20"/>
                <w:szCs w:val="20"/>
              </w:rPr>
              <w:t xml:space="preserve">Ficha de Conocimiento del Dominio</w:t>
            </w:r>
          </w:p>
        </w:tc>
        <w:tc>
          <w:tcPr>
            <w:tcMar>
              <w:top w:type="dxa" w:w="60"/>
              <w:left w:type="dxa" w:w="100"/>
              <w:bottom w:type="dxa" w:w="60"/>
              <w:right w:type="dxa" w:w="100"/>
            </w:tcMar>
          </w:tcPr>
          <w:p>
            <w:pPr>
              <w:jc w:val="left"/>
            </w:pPr>
            <w:r>
              <w:rPr>
                <w:b w:val="false"/>
                <w:bCs w:val="false"/>
                <w:sz w:val="20"/>
                <w:szCs w:val="20"/>
              </w:rPr>
              <w:t xml:space="preserve">Comprender el problema</w:t>
            </w:r>
          </w:p>
        </w:tc>
        <w:tc>
          <w:tcPr>
            <w:tcMar>
              <w:top w:type="dxa" w:w="60"/>
              <w:left w:type="dxa" w:w="100"/>
              <w:bottom w:type="dxa" w:w="60"/>
              <w:right w:type="dxa" w:w="100"/>
            </w:tcMar>
          </w:tcPr>
          <w:p>
            <w:pPr>
              <w:jc w:val="left"/>
            </w:pPr>
            <w:r>
              <w:rPr>
                <w:b w:val="false"/>
                <w:bCs w:val="false"/>
                <w:sz w:val="20"/>
                <w:szCs w:val="20"/>
              </w:rPr>
              <w:t xml:space="preserve">Jonatan / Pilar / Laura</w:t>
            </w:r>
          </w:p>
        </w:tc>
        <w:tc>
          <w:tcPr>
            <w:tcMar>
              <w:top w:type="dxa" w:w="60"/>
              <w:left w:type="dxa" w:w="100"/>
              <w:bottom w:type="dxa" w:w="60"/>
              <w:right w:type="dxa" w:w="100"/>
            </w:tcMar>
          </w:tcPr>
          <w:p>
            <w:pPr>
              <w:jc w:val="left"/>
            </w:pPr>
            <w:r>
              <w:rPr>
                <w:b/>
                <w:bCs/>
                <w:color w:val="B8860B"/>
                <w:sz w:val="20"/>
                <w:szCs w:val="20"/>
              </w:rPr>
              <w:t xml:space="preserve">En curso</w:t>
            </w:r>
          </w:p>
        </w:tc>
      </w:tr>
      <w:tr>
        <w:tc>
          <w:tcPr>
            <w:shd w:fill="D9E2F3" w:val="clear"/>
            <w:tcMar>
              <w:top w:type="dxa" w:w="60"/>
              <w:left w:type="dxa" w:w="100"/>
              <w:bottom w:type="dxa" w:w="60"/>
              <w:right w:type="dxa" w:w="100"/>
            </w:tcMar>
          </w:tcPr>
          <w:p>
            <w:pPr>
              <w:jc w:val="left"/>
            </w:pPr>
            <w:r>
              <w:rPr>
                <w:b w:val="false"/>
                <w:bCs w:val="false"/>
                <w:sz w:val="20"/>
                <w:szCs w:val="20"/>
              </w:rPr>
              <w:t xml:space="preserve">Diccionario de Datos</w:t>
            </w:r>
          </w:p>
        </w:tc>
        <w:tc>
          <w:tcPr>
            <w:shd w:fill="D9E2F3" w:val="clear"/>
            <w:tcMar>
              <w:top w:type="dxa" w:w="60"/>
              <w:left w:type="dxa" w:w="100"/>
              <w:bottom w:type="dxa" w:w="60"/>
              <w:right w:type="dxa" w:w="100"/>
            </w:tcMar>
          </w:tcPr>
          <w:p>
            <w:pPr>
              <w:jc w:val="left"/>
            </w:pPr>
            <w:r>
              <w:rPr>
                <w:b w:val="false"/>
                <w:bCs w:val="false"/>
                <w:sz w:val="20"/>
                <w:szCs w:val="20"/>
              </w:rPr>
              <w:t xml:space="preserve">Comprender los datos</w:t>
            </w:r>
          </w:p>
        </w:tc>
        <w:tc>
          <w:tcPr>
            <w:shd w:fill="D9E2F3" w:val="clear"/>
            <w:tcMar>
              <w:top w:type="dxa" w:w="60"/>
              <w:left w:type="dxa" w:w="100"/>
              <w:bottom w:type="dxa" w:w="60"/>
              <w:right w:type="dxa" w:w="100"/>
            </w:tcMar>
          </w:tcPr>
          <w:p>
            <w:pPr>
              <w:jc w:val="left"/>
            </w:pPr>
            <w:r>
              <w:rPr>
                <w:b w:val="false"/>
                <w:bCs w:val="false"/>
                <w:sz w:val="20"/>
                <w:szCs w:val="20"/>
              </w:rPr>
              <w:t xml:space="preserve">Laura</w:t>
            </w:r>
          </w:p>
        </w:tc>
        <w:tc>
          <w:tcPr>
            <w:shd w:fill="D9E2F3" w:val="clear"/>
            <w:tcMar>
              <w:top w:type="dxa" w:w="60"/>
              <w:left w:type="dxa" w:w="100"/>
              <w:bottom w:type="dxa" w:w="60"/>
              <w:right w:type="dxa" w:w="100"/>
            </w:tcMar>
          </w:tcPr>
          <w:p>
            <w:pPr>
              <w:jc w:val="left"/>
            </w:pPr>
            <w:r>
              <w:rPr>
                <w:b/>
                <w:bCs/>
                <w:color w:val="B8860B"/>
                <w:sz w:val="20"/>
                <w:szCs w:val="20"/>
              </w:rPr>
              <w:t xml:space="preserve">En curso</w:t>
            </w:r>
          </w:p>
        </w:tc>
      </w:tr>
      <w:tr>
        <w:tc>
          <w:tcPr>
            <w:tcMar>
              <w:top w:type="dxa" w:w="60"/>
              <w:left w:type="dxa" w:w="100"/>
              <w:bottom w:type="dxa" w:w="60"/>
              <w:right w:type="dxa" w:w="100"/>
            </w:tcMar>
          </w:tcPr>
          <w:p>
            <w:pPr>
              <w:jc w:val="left"/>
            </w:pPr>
            <w:r>
              <w:rPr>
                <w:b w:val="false"/>
                <w:bCs w:val="false"/>
                <w:sz w:val="20"/>
                <w:szCs w:val="20"/>
              </w:rPr>
              <w:t xml:space="preserve">EDA Inicial</w:t>
            </w:r>
          </w:p>
        </w:tc>
        <w:tc>
          <w:tcPr>
            <w:tcMar>
              <w:top w:type="dxa" w:w="60"/>
              <w:left w:type="dxa" w:w="100"/>
              <w:bottom w:type="dxa" w:w="60"/>
              <w:right w:type="dxa" w:w="100"/>
            </w:tcMar>
          </w:tcPr>
          <w:p>
            <w:pPr>
              <w:jc w:val="left"/>
            </w:pPr>
            <w:r>
              <w:rPr>
                <w:b w:val="false"/>
                <w:bCs w:val="false"/>
                <w:sz w:val="20"/>
                <w:szCs w:val="20"/>
              </w:rPr>
              <w:t xml:space="preserve">Explorar los datos</w:t>
            </w:r>
          </w:p>
        </w:tc>
        <w:tc>
          <w:tcPr>
            <w:tcMar>
              <w:top w:type="dxa" w:w="60"/>
              <w:left w:type="dxa" w:w="100"/>
              <w:bottom w:type="dxa" w:w="60"/>
              <w:right w:type="dxa" w:w="100"/>
            </w:tcMar>
          </w:tcPr>
          <w:p>
            <w:pPr>
              <w:jc w:val="left"/>
            </w:pPr>
            <w:r>
              <w:rPr>
                <w:b w:val="false"/>
                <w:bCs w:val="false"/>
                <w:sz w:val="20"/>
                <w:szCs w:val="20"/>
              </w:rPr>
              <w:t xml:space="preserve">Jonatan / Pilar / Laura</w:t>
            </w:r>
          </w:p>
        </w:tc>
        <w:tc>
          <w:tcPr>
            <w:tcMar>
              <w:top w:type="dxa" w:w="60"/>
              <w:left w:type="dxa" w:w="100"/>
              <w:bottom w:type="dxa" w:w="60"/>
              <w:right w:type="dxa" w:w="100"/>
            </w:tcMar>
          </w:tcPr>
          <w:p>
            <w:pPr>
              <w:jc w:val="left"/>
            </w:pPr>
            <w:r>
              <w:rPr>
                <w:b/>
                <w:bCs/>
                <w:color w:val="B8860B"/>
                <w:sz w:val="20"/>
                <w:szCs w:val="20"/>
              </w:rPr>
              <w:t xml:space="preserve">En curso</w:t>
            </w:r>
          </w:p>
        </w:tc>
      </w:tr>
      <w:tr>
        <w:tc>
          <w:tcPr>
            <w:shd w:fill="D9E2F3" w:val="clear"/>
            <w:tcMar>
              <w:top w:type="dxa" w:w="60"/>
              <w:left w:type="dxa" w:w="100"/>
              <w:bottom w:type="dxa" w:w="60"/>
              <w:right w:type="dxa" w:w="100"/>
            </w:tcMar>
          </w:tcPr>
          <w:p>
            <w:pPr>
              <w:jc w:val="left"/>
            </w:pPr>
            <w:r>
              <w:rPr>
                <w:b w:val="false"/>
                <w:bCs w:val="false"/>
                <w:sz w:val="20"/>
                <w:szCs w:val="20"/>
              </w:rPr>
              <w:t xml:space="preserve">Preguntas de investigación</w:t>
            </w:r>
          </w:p>
        </w:tc>
        <w:tc>
          <w:tcPr>
            <w:shd w:fill="D9E2F3" w:val="clear"/>
            <w:tcMar>
              <w:top w:type="dxa" w:w="60"/>
              <w:left w:type="dxa" w:w="100"/>
              <w:bottom w:type="dxa" w:w="60"/>
              <w:right w:type="dxa" w:w="100"/>
            </w:tcMar>
          </w:tcPr>
          <w:p>
            <w:pPr>
              <w:jc w:val="left"/>
            </w:pPr>
            <w:r>
              <w:rPr>
                <w:b w:val="false"/>
                <w:bCs w:val="false"/>
                <w:sz w:val="20"/>
                <w:szCs w:val="20"/>
              </w:rPr>
              <w:t xml:space="preserve">Formular preguntas de análisis</w:t>
            </w:r>
          </w:p>
        </w:tc>
        <w:tc>
          <w:tcPr>
            <w:shd w:fill="D9E2F3" w:val="clear"/>
            <w:tcMar>
              <w:top w:type="dxa" w:w="60"/>
              <w:left w:type="dxa" w:w="100"/>
              <w:bottom w:type="dxa" w:w="60"/>
              <w:right w:type="dxa" w:w="100"/>
            </w:tcMar>
          </w:tcPr>
          <w:p>
            <w:pPr>
              <w:jc w:val="left"/>
            </w:pPr>
            <w:r>
              <w:rPr>
                <w:b w:val="false"/>
                <w:bCs w:val="false"/>
                <w:sz w:val="20"/>
                <w:szCs w:val="20"/>
              </w:rPr>
              <w:t xml:space="preserve">Jonatan / Pilar / Laura</w:t>
            </w:r>
          </w:p>
        </w:tc>
        <w:tc>
          <w:tcPr>
            <w:shd w:fill="D9E2F3" w:val="clear"/>
            <w:tcMar>
              <w:top w:type="dxa" w:w="60"/>
              <w:left w:type="dxa" w:w="100"/>
              <w:bottom w:type="dxa" w:w="60"/>
              <w:right w:type="dxa" w:w="100"/>
            </w:tcMar>
          </w:tcPr>
          <w:p>
            <w:pPr>
              <w:jc w:val="left"/>
            </w:pPr>
            <w:r>
              <w:rPr>
                <w:b/>
                <w:bCs/>
                <w:color w:val="2E7D32"/>
                <w:sz w:val="20"/>
                <w:szCs w:val="20"/>
              </w:rPr>
              <w:t xml:space="preserve">Completado</w:t>
            </w:r>
          </w:p>
        </w:tc>
      </w:tr>
      <w:tr>
        <w:tc>
          <w:tcPr>
            <w:tcMar>
              <w:top w:type="dxa" w:w="60"/>
              <w:left w:type="dxa" w:w="100"/>
              <w:bottom w:type="dxa" w:w="60"/>
              <w:right w:type="dxa" w:w="100"/>
            </w:tcMar>
          </w:tcPr>
          <w:p>
            <w:pPr>
              <w:jc w:val="left"/>
            </w:pPr>
            <w:r>
              <w:rPr>
                <w:b w:val="false"/>
                <w:bCs w:val="false"/>
                <w:sz w:val="20"/>
                <w:szCs w:val="20"/>
              </w:rPr>
              <w:t xml:space="preserve">Preguntas de investigación</w:t>
            </w:r>
          </w:p>
        </w:tc>
        <w:tc>
          <w:tcPr>
            <w:tcMar>
              <w:top w:type="dxa" w:w="60"/>
              <w:left w:type="dxa" w:w="100"/>
              <w:bottom w:type="dxa" w:w="60"/>
              <w:right w:type="dxa" w:w="100"/>
            </w:tcMar>
          </w:tcPr>
          <w:p>
            <w:pPr>
              <w:jc w:val="left"/>
            </w:pPr>
            <w:r>
              <w:rPr>
                <w:b w:val="false"/>
                <w:bCs w:val="false"/>
                <w:sz w:val="20"/>
                <w:szCs w:val="20"/>
              </w:rPr>
              <w:t xml:space="preserve">Seleccionar las preguntas principales</w:t>
            </w:r>
          </w:p>
        </w:tc>
        <w:tc>
          <w:tcPr>
            <w:tcMar>
              <w:top w:type="dxa" w:w="60"/>
              <w:left w:type="dxa" w:w="100"/>
              <w:bottom w:type="dxa" w:w="60"/>
              <w:right w:type="dxa" w:w="100"/>
            </w:tcMar>
          </w:tcPr>
          <w:p>
            <w:pPr>
              <w:jc w:val="left"/>
            </w:pPr>
            <w:r>
              <w:rPr>
                <w:b w:val="false"/>
                <w:bCs w:val="false"/>
                <w:sz w:val="20"/>
                <w:szCs w:val="20"/>
              </w:rPr>
              <w:t xml:space="preserve">—</w:t>
            </w:r>
          </w:p>
        </w:tc>
        <w:tc>
          <w:tcPr>
            <w:tcMar>
              <w:top w:type="dxa" w:w="60"/>
              <w:left w:type="dxa" w:w="100"/>
              <w:bottom w:type="dxa" w:w="60"/>
              <w:right w:type="dxa" w:w="100"/>
            </w:tcMar>
          </w:tcPr>
          <w:p>
            <w:pPr>
              <w:jc w:val="left"/>
            </w:pPr>
            <w:r>
              <w:rPr>
                <w:b/>
                <w:bCs/>
                <w:color w:val="B8860B"/>
                <w:sz w:val="20"/>
                <w:szCs w:val="20"/>
              </w:rPr>
              <w:t xml:space="preserve">En curso</w:t>
            </w:r>
          </w:p>
        </w:tc>
      </w:tr>
      <w:tr>
        <w:tc>
          <w:tcPr>
            <w:shd w:fill="D9E2F3" w:val="clear"/>
            <w:tcMar>
              <w:top w:type="dxa" w:w="60"/>
              <w:left w:type="dxa" w:w="100"/>
              <w:bottom w:type="dxa" w:w="60"/>
              <w:right w:type="dxa" w:w="100"/>
            </w:tcMar>
          </w:tcPr>
          <w:p>
            <w:pPr>
              <w:jc w:val="left"/>
            </w:pPr>
            <w:r>
              <w:rPr>
                <w:b w:val="false"/>
                <w:bCs w:val="false"/>
                <w:sz w:val="20"/>
                <w:szCs w:val="20"/>
              </w:rPr>
              <w:t xml:space="preserve">Informe Técnico del Sprint 1</w:t>
            </w:r>
          </w:p>
        </w:tc>
        <w:tc>
          <w:tcPr>
            <w:shd w:fill="D9E2F3" w:val="clear"/>
            <w:tcMar>
              <w:top w:type="dxa" w:w="60"/>
              <w:left w:type="dxa" w:w="100"/>
              <w:bottom w:type="dxa" w:w="60"/>
              <w:right w:type="dxa" w:w="100"/>
            </w:tcMar>
          </w:tcPr>
          <w:p>
            <w:pPr>
              <w:jc w:val="left"/>
            </w:pPr>
            <w:r>
              <w:rPr>
                <w:b w:val="false"/>
                <w:bCs w:val="false"/>
                <w:sz w:val="20"/>
                <w:szCs w:val="20"/>
              </w:rPr>
              <w:t xml:space="preserve">Documentar — Informe</w:t>
            </w:r>
          </w:p>
        </w:tc>
        <w:tc>
          <w:tcPr>
            <w:shd w:fill="D9E2F3" w:val="clear"/>
            <w:tcMar>
              <w:top w:type="dxa" w:w="60"/>
              <w:left w:type="dxa" w:w="100"/>
              <w:bottom w:type="dxa" w:w="60"/>
              <w:right w:type="dxa" w:w="100"/>
            </w:tcMar>
          </w:tcPr>
          <w:p>
            <w:pPr>
              <w:jc w:val="left"/>
            </w:pPr>
            <w:r>
              <w:rPr>
                <w:b w:val="false"/>
                <w:bCs w:val="false"/>
                <w:sz w:val="20"/>
                <w:szCs w:val="20"/>
              </w:rPr>
              <w:t xml:space="preserve">Jonatan / Pilar / Laura</w:t>
            </w:r>
          </w:p>
        </w:tc>
        <w:tc>
          <w:tcPr>
            <w:shd w:fill="D9E2F3" w:val="clear"/>
            <w:tcMar>
              <w:top w:type="dxa" w:w="60"/>
              <w:left w:type="dxa" w:w="100"/>
              <w:bottom w:type="dxa" w:w="60"/>
              <w:right w:type="dxa" w:w="100"/>
            </w:tcMar>
          </w:tcPr>
          <w:p>
            <w:pPr>
              <w:jc w:val="left"/>
            </w:pPr>
            <w:r>
              <w:rPr>
                <w:b/>
                <w:bCs/>
                <w:color w:val="B8860B"/>
                <w:sz w:val="20"/>
                <w:szCs w:val="20"/>
              </w:rPr>
              <w:t xml:space="preserve">En curso</w:t>
            </w:r>
          </w:p>
        </w:tc>
      </w:tr>
      <w:tr>
        <w:tc>
          <w:tcPr>
            <w:tcMar>
              <w:top w:type="dxa" w:w="60"/>
              <w:left w:type="dxa" w:w="100"/>
              <w:bottom w:type="dxa" w:w="60"/>
              <w:right w:type="dxa" w:w="100"/>
            </w:tcMar>
          </w:tcPr>
          <w:p>
            <w:pPr>
              <w:jc w:val="left"/>
            </w:pPr>
            <w:r>
              <w:rPr>
                <w:b w:val="false"/>
                <w:bCs w:val="false"/>
                <w:sz w:val="20"/>
                <w:szCs w:val="20"/>
              </w:rPr>
              <w:t xml:space="preserve">Cierre del Sprint 1</w:t>
            </w:r>
          </w:p>
        </w:tc>
        <w:tc>
          <w:tcPr>
            <w:tcMar>
              <w:top w:type="dxa" w:w="60"/>
              <w:left w:type="dxa" w:w="100"/>
              <w:bottom w:type="dxa" w:w="60"/>
              <w:right w:type="dxa" w:w="100"/>
            </w:tcMar>
          </w:tcPr>
          <w:p>
            <w:pPr>
              <w:jc w:val="left"/>
            </w:pPr>
            <w:r>
              <w:rPr>
                <w:b w:val="false"/>
                <w:bCs w:val="false"/>
                <w:sz w:val="20"/>
                <w:szCs w:val="20"/>
              </w:rPr>
              <w:t xml:space="preserve">Cerrar el Sprint</w:t>
            </w:r>
          </w:p>
        </w:tc>
        <w:tc>
          <w:tcPr>
            <w:tcMar>
              <w:top w:type="dxa" w:w="60"/>
              <w:left w:type="dxa" w:w="100"/>
              <w:bottom w:type="dxa" w:w="60"/>
              <w:right w:type="dxa" w:w="100"/>
            </w:tcMar>
          </w:tcPr>
          <w:p>
            <w:pPr>
              <w:jc w:val="left"/>
            </w:pPr>
            <w:r>
              <w:rPr>
                <w:b w:val="false"/>
                <w:bCs w:val="false"/>
                <w:sz w:val="20"/>
                <w:szCs w:val="20"/>
              </w:rPr>
              <w:t xml:space="preserve">Jonatan / Pilar / Laura</w:t>
            </w:r>
          </w:p>
        </w:tc>
        <w:tc>
          <w:tcPr>
            <w:tcMar>
              <w:top w:type="dxa" w:w="60"/>
              <w:left w:type="dxa" w:w="100"/>
              <w:bottom w:type="dxa" w:w="60"/>
              <w:right w:type="dxa" w:w="100"/>
            </w:tcMar>
          </w:tcPr>
          <w:p>
            <w:pPr>
              <w:jc w:val="left"/>
            </w:pPr>
            <w:r>
              <w:rPr>
                <w:b/>
                <w:bCs/>
                <w:color w:val="595959"/>
                <w:sz w:val="20"/>
                <w:szCs w:val="20"/>
              </w:rPr>
              <w:t xml:space="preserve">Pendiente</w:t>
            </w:r>
          </w:p>
        </w:tc>
      </w:tr>
    </w:tbl>
    <w:p>
      <w:pPr>
        <w:spacing w:after="160"/>
      </w:pPr>
    </w:p>
    <w:p>
      <w:pPr>
        <w:spacing w:after="140" w:line="276"/>
      </w:pPr>
      <w:r>
        <w:rPr>
          <w:sz w:val="22"/>
          <w:szCs w:val="22"/>
        </w:rPr>
        <w:t xml:space="preserve">Nota: el presente informe y el cierre del Sprint se completan en los últimos días del Sprint 1 (04–05/10/2026), por lo que ambos entregables figuran "En curso" / "Pendiente" al momento de redactar este documento.</w:t>
      </w:r>
    </w:p>
    <w:p>
      <w:pPr>
        <w:pStyle w:val="Heading1"/>
        <w:pBdr>
          <w:bottom w:val="single" w:color="1F3864" w:sz="6" w:space="4"/>
        </w:pBdr>
        <w:spacing w:after="160" w:before="320"/>
      </w:pPr>
      <w:r>
        <w:rPr>
          <w:b/>
          <w:bCs/>
          <w:color w:val="1F3864"/>
          <w:sz w:val="28"/>
          <w:szCs w:val="28"/>
        </w:rPr>
        <w:t xml:space="preserve">7. Conclusiones del Sprint 1</w:t>
      </w:r>
    </w:p>
    <w:p>
      <w:pPr>
        <w:spacing w:after="140" w:line="276"/>
      </w:pPr>
      <w:r>
        <w:rPr>
          <w:sz w:val="22"/>
          <w:szCs w:val="22"/>
        </w:rPr>
        <w:t xml:space="preserve">El equipo completó la comprensión inicial del dominio, la documentación de los datasets disponibles y la definición de las tres preguntas de análisis que guiarán el proyecto. El EDA inicial confirmó que frecuencia y severidad de los incendios son dimensiones independientes y que Tierra del Fuego presenta un caso de interés particular (el evento de 2022) para profundizar en los próximos Sprints. Se documentaron también los problemas de calidad de datos a resolver, dejando una base ordenada para la limpieza y transformación que se realizará en el Sprint 2.</w:t>
      </w:r>
    </w:p>
    <w:p>
      <w:pPr>
        <w:pStyle w:val="Heading1"/>
        <w:pBdr>
          <w:bottom w:val="single" w:color="1F3864" w:sz="6" w:space="4"/>
        </w:pBdr>
        <w:spacing w:after="160" w:before="320"/>
      </w:pPr>
      <w:r>
        <w:rPr>
          <w:b/>
          <w:bCs/>
          <w:color w:val="1F3864"/>
          <w:sz w:val="28"/>
          <w:szCs w:val="28"/>
        </w:rPr>
        <w:t xml:space="preserve">8. Próximos pasos (Sprint 2)</w:t>
      </w:r>
    </w:p>
    <w:p>
      <w:pPr>
        <w:pStyle w:val="ListParagraph"/>
        <w:numPr>
          <w:ilvl w:val="0"/>
          <w:numId w:val="2"/>
        </w:numPr>
        <w:spacing w:after="100" w:line="276"/>
      </w:pPr>
      <w:r>
        <w:rPr>
          <w:sz w:val="22"/>
          <w:szCs w:val="22"/>
        </w:rPr>
        <w:t xml:space="preserve">Limpiar y transformar el dataset consolidado (normalizar nombres de provincia, estandarizar fechas, separar filas "Total").</w:t>
      </w:r>
    </w:p>
    <w:p>
      <w:pPr>
        <w:pStyle w:val="ListParagraph"/>
        <w:numPr>
          <w:ilvl w:val="0"/>
          <w:numId w:val="2"/>
        </w:numPr>
        <w:spacing w:after="100" w:line="276"/>
      </w:pPr>
      <w:r>
        <w:rPr>
          <w:sz w:val="22"/>
          <w:szCs w:val="22"/>
        </w:rPr>
        <w:t xml:space="preserve">Validar la calidad de los datos ya procesados.</w:t>
      </w:r>
    </w:p>
    <w:p>
      <w:pPr>
        <w:pStyle w:val="ListParagraph"/>
        <w:numPr>
          <w:ilvl w:val="0"/>
          <w:numId w:val="2"/>
        </w:numPr>
        <w:spacing w:after="100" w:line="276"/>
      </w:pPr>
      <w:r>
        <w:rPr>
          <w:sz w:val="22"/>
          <w:szCs w:val="22"/>
        </w:rPr>
        <w:t xml:space="preserve">Identificar patrones y anomalías a partir de las nuevas preguntas surgidas en el EDA.</w:t>
      </w:r>
    </w:p>
    <w:p>
      <w:pPr>
        <w:pStyle w:val="ListParagraph"/>
        <w:numPr>
          <w:ilvl w:val="0"/>
          <w:numId w:val="2"/>
        </w:numPr>
        <w:spacing w:after="100" w:line="276"/>
      </w:pPr>
      <w:r>
        <w:rPr>
          <w:sz w:val="22"/>
          <w:szCs w:val="22"/>
        </w:rPr>
        <w:t xml:space="preserve">Elaborar los insights que sintetizan los hallazgos en conclusiones accionables.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2026-10-04T20:49:13.010Z</dcterms:created>
  <dcterms:modified xsi:type="dcterms:W3CDTF">2026-10-04T20:49:13.019Z</dcterms:modified>
</cp:coreProperties>
</file>

<file path=docProps/custom.xml><?xml version="1.0" encoding="utf-8"?>
<Properties xmlns="http://schemas.openxmlformats.org/officeDocument/2006/custom-properties" xmlns:vt="http://schemas.openxmlformats.org/officeDocument/2006/docPropsVTypes"/>
</file>