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pPr>
      <w:bookmarkStart w:colFirst="0" w:colLast="0" w:name="_8e71osqjrt1q" w:id="0"/>
      <w:bookmarkEnd w:id="0"/>
      <w:r w:rsidDel="00000000" w:rsidR="00000000" w:rsidRPr="00000000">
        <w:rPr>
          <w:rtl w:val="0"/>
        </w:rPr>
        <w:t xml:space="preserve">Plantilla de Reporte de Insights</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Para que el equipo documente sus hallazgos de forma profesional y estandarizada al cierre del </w:t>
      </w:r>
      <w:r w:rsidDel="00000000" w:rsidR="00000000" w:rsidRPr="00000000">
        <w:rPr>
          <w:i w:val="1"/>
          <w:iCs w:val="1"/>
          <w:rtl w:val="0"/>
        </w:rPr>
        <w:t xml:space="preserve">Sprint 2</w:t>
      </w:r>
      <w:r w:rsidDel="00000000" w:rsidR="00000000" w:rsidRPr="00000000">
        <w:rPr>
          <w:rtl w:val="0"/>
        </w:rPr>
        <w:t xml:space="preserve">, se sugiere la siguiente </w:t>
      </w:r>
      <w:r w:rsidDel="00000000" w:rsidR="00000000" w:rsidRPr="00000000">
        <w:rPr>
          <w:i w:val="1"/>
          <w:iCs w:val="1"/>
          <w:rtl w:val="0"/>
        </w:rPr>
        <w:t xml:space="preserve">Plantilla de Reporte de Insights</w:t>
      </w:r>
      <w:r w:rsidDel="00000000" w:rsidR="00000000" w:rsidRPr="00000000">
        <w:rPr>
          <w:rtl w:val="0"/>
        </w:rPr>
        <w:t xml:space="preserve">. Esta estructura asegura que la evidencia se traduzca en valor estratégico directo para los interesados (</w:t>
      </w:r>
      <w:r w:rsidDel="00000000" w:rsidR="00000000" w:rsidRPr="00000000">
        <w:rPr>
          <w:i w:val="1"/>
          <w:iCs w:val="1"/>
          <w:rtl w:val="0"/>
        </w:rPr>
        <w:t xml:space="preserve">stakeholders</w:t>
      </w:r>
      <w:r w:rsidDel="00000000" w:rsidR="00000000" w:rsidRPr="00000000">
        <w:rPr>
          <w:rtl w:val="0"/>
        </w:rPr>
        <w:t xml:space="preserv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2.810495333451"/>
        <w:gridCol w:w="2210.7217428492368"/>
        <w:gridCol w:w="4531.979572840935"/>
        <w:tblGridChange w:id="0">
          <w:tblGrid>
            <w:gridCol w:w="2282.810495333451"/>
            <w:gridCol w:w="2210.7217428492368"/>
            <w:gridCol w:w="4531.97957284093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3">
            <w:pPr>
              <w:spacing w:line="240" w:lineRule="auto"/>
              <w:jc w:val="center"/>
              <w:rPr>
                <w:b w:val="1"/>
                <w:bCs w:val="1"/>
              </w:rPr>
            </w:pPr>
            <w:r w:rsidDel="00000000" w:rsidR="00000000" w:rsidRPr="00000000">
              <w:rPr>
                <w:b w:val="1"/>
                <w:bCs w:val="1"/>
                <w:rtl w:val="0"/>
              </w:rPr>
              <w:t xml:space="preserve">SECCIÓN</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4">
            <w:pPr>
              <w:spacing w:line="240" w:lineRule="auto"/>
              <w:jc w:val="center"/>
              <w:rPr>
                <w:b w:val="1"/>
                <w:bCs w:val="1"/>
              </w:rPr>
            </w:pPr>
            <w:r w:rsidDel="00000000" w:rsidR="00000000" w:rsidRPr="00000000">
              <w:rPr>
                <w:b w:val="1"/>
                <w:bCs w:val="1"/>
                <w:rtl w:val="0"/>
              </w:rPr>
              <w:t xml:space="preserve">CAMPO DE REGISTRO</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05">
            <w:pPr>
              <w:spacing w:line="240" w:lineRule="auto"/>
              <w:jc w:val="center"/>
              <w:rPr>
                <w:b w:val="1"/>
                <w:bCs w:val="1"/>
              </w:rPr>
            </w:pPr>
            <w:r w:rsidDel="00000000" w:rsidR="00000000" w:rsidRPr="00000000">
              <w:rPr>
                <w:b w:val="1"/>
                <w:bCs w:val="1"/>
                <w:rtl w:val="0"/>
              </w:rPr>
              <w:t xml:space="preserve">VALOR</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6">
            <w:pPr>
              <w:spacing w:line="240" w:lineRule="auto"/>
              <w:rPr>
                <w:b w:val="1"/>
                <w:bCs w:val="1"/>
              </w:rPr>
            </w:pPr>
            <w:r w:rsidDel="00000000" w:rsidR="00000000" w:rsidRPr="00000000">
              <w:rPr>
                <w:b w:val="1"/>
                <w:bCs w:val="1"/>
                <w:rtl w:val="0"/>
              </w:rPr>
              <w:t xml:space="preserve">Resumen Ejecutivo del Hallazgo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spacing w:line="240" w:lineRule="auto"/>
              <w:rPr>
                <w:b w:val="1"/>
                <w:bCs w:val="1"/>
              </w:rPr>
            </w:pPr>
            <w:r w:rsidDel="00000000" w:rsidR="00000000" w:rsidRPr="00000000">
              <w:rPr>
                <w:b w:val="1"/>
                <w:bCs w:val="1"/>
                <w:rtl w:val="0"/>
              </w:rPr>
              <w:t xml:space="preserve">ID del Insight: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INS-001</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9">
            <w:pPr>
              <w:spacing w:line="240"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line="240" w:lineRule="auto"/>
              <w:rPr>
                <w:b w:val="1"/>
                <w:bCs w:val="1"/>
              </w:rPr>
            </w:pPr>
            <w:r w:rsidDel="00000000" w:rsidR="00000000" w:rsidRPr="00000000">
              <w:rPr>
                <w:b w:val="1"/>
                <w:bCs w:val="1"/>
                <w:rtl w:val="0"/>
              </w:rPr>
              <w:t xml:space="preserve">Título Descriptivo: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Cantidad de incendios y superficie afectada siguen comportamientos distintos</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C">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line="240" w:lineRule="auto"/>
              <w:rPr>
                <w:b w:val="1"/>
                <w:bCs w:val="1"/>
              </w:rPr>
            </w:pPr>
            <w:r w:rsidDel="00000000" w:rsidR="00000000" w:rsidRPr="00000000">
              <w:rPr>
                <w:b w:val="1"/>
                <w:bCs w:val="1"/>
                <w:rtl w:val="0"/>
              </w:rPr>
              <w:t xml:space="preserve">Categoría: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Relación entre variables / Gravedad de los incendios</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0F">
            <w:pPr>
              <w:spacing w:line="240" w:lineRule="auto"/>
              <w:rPr>
                <w:b w:val="1"/>
                <w:bCs w:val="1"/>
              </w:rPr>
            </w:pPr>
            <w:r w:rsidDel="00000000" w:rsidR="00000000" w:rsidRPr="00000000">
              <w:rPr>
                <w:b w:val="1"/>
                <w:bCs w:val="1"/>
                <w:rtl w:val="0"/>
              </w:rPr>
              <w:t xml:space="preserve">Contexto y Evidencia Estadística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line="240" w:lineRule="auto"/>
              <w:rPr>
                <w:b w:val="1"/>
                <w:bCs w:val="1"/>
              </w:rPr>
            </w:pPr>
            <w:r w:rsidDel="00000000" w:rsidR="00000000" w:rsidRPr="00000000">
              <w:rPr>
                <w:b w:val="1"/>
                <w:bCs w:val="1"/>
                <w:rtl w:val="0"/>
              </w:rPr>
              <w:t xml:space="preserve">Patrón Identificado: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La cantidad de incendios y la superficie afectada no evolucionan de la misma manera. 2024 es el año con más incendios (2.707) y, sin embargo, con la menor superficie afectada (0,25 millones de hectáreas); 2020 tuvo menos incendios (1.720) pero la mayor superficie (1,00 millones). El NOA concentra el 49,2 % de los incendios pero solo el 10,1 % de las hectáreas; en cambio, la Pampeana reúne el 8,2 % de los incendios y el 22,2 % de las hectáreas. En el gráfico de burbujas, las provincias con más incendios no son necesariamente las de mayor superficie afectada.</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2">
            <w:pPr>
              <w:spacing w:line="240"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rPr>
                <w:b w:val="1"/>
                <w:bCs w:val="1"/>
              </w:rPr>
            </w:pPr>
            <w:r w:rsidDel="00000000" w:rsidR="00000000" w:rsidRPr="00000000">
              <w:rPr>
                <w:b w:val="1"/>
                <w:bCs w:val="1"/>
                <w:rtl w:val="0"/>
              </w:rPr>
              <w:t xml:space="preserve">Variable(s) Crítica(s):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Cantidad de incendios y superficie afectada (hectáreas) por provincia, región y año, período 2020–2025 (tablas IncendioForestal_2020_2026 y cant_hect_incen_prov_2020_2026). Hectáreas por incendio: 267 en el total del período. Página "Cantidad vs superficie" del tablero.</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5">
            <w:pPr>
              <w:spacing w:line="240"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rPr>
                <w:b w:val="1"/>
                <w:bCs w:val="1"/>
              </w:rPr>
            </w:pPr>
            <w:r w:rsidDel="00000000" w:rsidR="00000000" w:rsidRPr="00000000">
              <w:rPr>
                <w:b w:val="1"/>
                <w:bCs w:val="1"/>
                <w:rtl w:val="0"/>
              </w:rPr>
              <w:t xml:space="preserve">Grado de Confianza: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Medio. Los datos se reconstruyeron a partir de los reportes mensuales del SNMF y los valores "s/d" se reemplazaron por 0 (puede confundir "sin incendios" con "sin dato"). Además, esta página suma 13.326 incendios y la de regiones 13.486, porque excluye los parques nacionales de 2020.</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El Insight (Conocimiento Profundo)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rPr>
                <w:b w:val="1"/>
                <w:bCs w:val="1"/>
              </w:rPr>
            </w:pPr>
            <w:r w:rsidDel="00000000" w:rsidR="00000000" w:rsidRPr="00000000">
              <w:rPr>
                <w:b w:val="1"/>
                <w:bCs w:val="1"/>
                <w:rtl w:val="0"/>
              </w:rPr>
              <w:t xml:space="preserve">Interpretación: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No se observa una relación directa entre la cantidad de incendios y la superficie afectada. El tamaño promedio de los incendios difiere según la región y el año, por lo que contar incendios no alcanza para dimensionar la superficie afectada: ambas variables aportan información diferente y deben leerse en conjunto.</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B">
            <w:pPr>
              <w:spacing w:line="240"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rPr>
                <w:b w:val="1"/>
                <w:bCs w:val="1"/>
              </w:rPr>
            </w:pPr>
            <w:r w:rsidDel="00000000" w:rsidR="00000000" w:rsidRPr="00000000">
              <w:rPr>
                <w:b w:val="1"/>
                <w:bCs w:val="1"/>
                <w:rtl w:val="0"/>
              </w:rPr>
              <w:t xml:space="preserve">Impacto Potencial: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Si se ignora, un análisis que mida solo la cantidad de incendios podría concluir que la situación empeora (o mejora) cuando la superficie afectada muestra otra cosa. Si se actúa, el proyecto usa ambas variables en conjunto al comunicar los resultados.</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1E">
            <w:pPr>
              <w:rPr>
                <w:b w:val="1"/>
                <w:bCs w:val="1"/>
              </w:rPr>
            </w:pPr>
            <w:r w:rsidDel="00000000" w:rsidR="00000000" w:rsidRPr="00000000">
              <w:rPr>
                <w:b w:val="1"/>
                <w:bCs w:val="1"/>
                <w:rtl w:val="0"/>
              </w:rPr>
              <w:t xml:space="preserve">Recomendaciones y Próximos Pasos (Accionabilidad)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rPr>
                <w:b w:val="1"/>
                <w:bCs w:val="1"/>
              </w:rPr>
            </w:pPr>
            <w:r w:rsidDel="00000000" w:rsidR="00000000" w:rsidRPr="00000000">
              <w:rPr>
                <w:b w:val="1"/>
                <w:bCs w:val="1"/>
                <w:rtl w:val="0"/>
              </w:rPr>
              <w:t xml:space="preserve">Acción Propuesta: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Presentar siempre la cantidad de incendios junto con la superficie afectada, y apoyarse en las hectáreas por incendio para comparar regiones y años.</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1">
            <w:pPr>
              <w:spacing w:line="240"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rPr>
                <w:b w:val="1"/>
                <w:bCs w:val="1"/>
              </w:rPr>
            </w:pPr>
            <w:r w:rsidDel="00000000" w:rsidR="00000000" w:rsidRPr="00000000">
              <w:rPr>
                <w:b w:val="1"/>
                <w:bCs w:val="1"/>
                <w:rtl w:val="0"/>
              </w:rPr>
              <w:t xml:space="preserve">Prioridad: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Alta</w:t>
            </w:r>
          </w:p>
        </w:tc>
      </w:tr>
      <w:tr>
        <w:trPr>
          <w:cantSplit w:val="1"/>
          <w:trHeight w:val="1031.850585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24">
            <w:pPr>
              <w:spacing w:line="240"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b w:val="1"/>
                <w:bCs w:val="1"/>
              </w:rPr>
            </w:pPr>
            <w:r w:rsidDel="00000000" w:rsidR="00000000" w:rsidRPr="00000000">
              <w:rPr>
                <w:b w:val="1"/>
                <w:bCs w:val="1"/>
                <w:rtl w:val="0"/>
              </w:rPr>
              <w:t xml:space="preserve">Sprint Futuro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Sí. En el Sprint 3, diseñar el producto de visualización y construir la narrativa (data storytelling) con ambas variables juntas. Documentar la limitación de los valores "s/d" reemplazados por 0.</w:t>
            </w:r>
          </w:p>
        </w:tc>
      </w:tr>
    </w:tbl>
    <w:p>
      <w:r>
        <w:br w:type="page"/>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2.810495333451"/>
        <w:gridCol w:w="2210.7217428492368"/>
        <w:gridCol w:w="4531.979572840935"/>
        <w:tblGridChange w:id="0">
          <w:tblGrid>
            <w:gridCol w:w="2282.810495333451"/>
            <w:gridCol w:w="2210.7217428492368"/>
            <w:gridCol w:w="4531.97957284093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pPr>
              <w:spacing w:line="240" w:lineRule="auto"/>
              <w:jc w:val="center"/>
              <w:rPr>
                <w:b w:val="1"/>
                <w:bCs w:val="1"/>
              </w:rPr>
            </w:pPr>
            <w:r w:rsidDel="00000000" w:rsidR="00000000" w:rsidRPr="00000000">
              <w:rPr>
                <w:b w:val="1"/>
                <w:bCs w:val="1"/>
                <w:rtl w:val="0"/>
              </w:rPr>
              <w:t xml:space="preserve">SECCIÓN</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pPr>
              <w:spacing w:line="240" w:lineRule="auto"/>
              <w:jc w:val="center"/>
              <w:rPr>
                <w:b w:val="1"/>
                <w:bCs w:val="1"/>
              </w:rPr>
            </w:pPr>
            <w:r w:rsidDel="00000000" w:rsidR="00000000" w:rsidRPr="00000000">
              <w:rPr>
                <w:b w:val="1"/>
                <w:bCs w:val="1"/>
                <w:rtl w:val="0"/>
              </w:rPr>
              <w:t xml:space="preserve">CAMPO DE REGISTRO</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pPr>
              <w:spacing w:line="240" w:lineRule="auto"/>
              <w:jc w:val="center"/>
              <w:rPr>
                <w:b w:val="1"/>
                <w:bCs w:val="1"/>
              </w:rPr>
            </w:pPr>
            <w:r w:rsidDel="00000000" w:rsidR="00000000" w:rsidRPr="00000000">
              <w:rPr>
                <w:b w:val="1"/>
                <w:bCs w:val="1"/>
                <w:rtl w:val="0"/>
              </w:rPr>
              <w:t xml:space="preserve">VALOR</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spacing w:line="240" w:lineRule="auto"/>
              <w:rPr>
                <w:b w:val="1"/>
                <w:bCs w:val="1"/>
              </w:rPr>
            </w:pPr>
            <w:r w:rsidDel="00000000" w:rsidR="00000000" w:rsidRPr="00000000">
              <w:rPr>
                <w:b w:val="1"/>
                <w:bCs w:val="1"/>
                <w:rtl w:val="0"/>
              </w:rPr>
              <w:t xml:space="preserve">Resumen Ejecutivo del Hallazgo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spacing w:line="240" w:lineRule="auto"/>
              <w:rPr>
                <w:b w:val="1"/>
                <w:bCs w:val="1"/>
              </w:rPr>
            </w:pPr>
            <w:r w:rsidDel="00000000" w:rsidR="00000000" w:rsidRPr="00000000">
              <w:rPr>
                <w:b w:val="1"/>
                <w:bCs w:val="1"/>
                <w:rtl w:val="0"/>
              </w:rPr>
              <w:t xml:space="preserve">ID del Insight: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spacing w:line="240" w:lineRule="auto"/>
              <w:rPr/>
            </w:pPr>
            <w:r w:rsidDel="00000000" w:rsidR="00000000" w:rsidRPr="00000000">
              <w:rPr>
                <w:rtl w:val="0"/>
              </w:rPr>
              <w:t xml:space="preserve">INS-002</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spacing w:line="240"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spacing w:line="240" w:lineRule="auto"/>
              <w:rPr>
                <w:b w:val="1"/>
                <w:bCs w:val="1"/>
              </w:rPr>
            </w:pPr>
            <w:r w:rsidDel="00000000" w:rsidR="00000000" w:rsidRPr="00000000">
              <w:rPr>
                <w:b w:val="1"/>
                <w:bCs w:val="1"/>
                <w:rtl w:val="0"/>
              </w:rPr>
              <w:t xml:space="preserve">Título Descriptivo: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spacing w:line="240" w:lineRule="auto"/>
              <w:rPr/>
            </w:pPr>
            <w:r w:rsidDel="00000000" w:rsidR="00000000" w:rsidRPr="00000000">
              <w:rPr>
                <w:rtl w:val="0"/>
              </w:rPr>
              <w:t xml:space="preserve">Los focos de calor se concentran en pocas provincias del norte y el litoral y en la segunda mitad del año</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spacing w:line="240" w:lineRule="auto"/>
              <w:rPr>
                <w:b w:val="1"/>
                <w:bCs w:val="1"/>
              </w:rPr>
            </w:pPr>
            <w:r w:rsidDel="00000000" w:rsidR="00000000" w:rsidRPr="00000000">
              <w:rPr>
                <w:b w:val="1"/>
                <w:bCs w:val="1"/>
                <w:rtl w:val="0"/>
              </w:rPr>
              <w:t xml:space="preserve">Categoría: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spacing w:line="240" w:lineRule="auto"/>
              <w:rPr/>
            </w:pPr>
            <w:r w:rsidDel="00000000" w:rsidR="00000000" w:rsidRPr="00000000">
              <w:rPr>
                <w:rtl w:val="0"/>
              </w:rPr>
              <w:t xml:space="preserve">Distribución territorial y temporal</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spacing w:line="240" w:lineRule="auto"/>
              <w:rPr>
                <w:b w:val="1"/>
                <w:bCs w:val="1"/>
              </w:rPr>
            </w:pPr>
            <w:r w:rsidDel="00000000" w:rsidR="00000000" w:rsidRPr="00000000">
              <w:rPr>
                <w:b w:val="1"/>
                <w:bCs w:val="1"/>
                <w:rtl w:val="0"/>
              </w:rPr>
              <w:t xml:space="preserve">Contexto y Evidencia Estadística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spacing w:line="240" w:lineRule="auto"/>
              <w:rPr>
                <w:b w:val="1"/>
                <w:bCs w:val="1"/>
              </w:rPr>
            </w:pPr>
            <w:r w:rsidDel="00000000" w:rsidR="00000000" w:rsidRPr="00000000">
              <w:rPr>
                <w:b w:val="1"/>
                <w:bCs w:val="1"/>
                <w:rtl w:val="0"/>
              </w:rPr>
              <w:t xml:space="preserve">Patrón Identificado: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pPr>
            <w:r w:rsidDel="00000000" w:rsidR="00000000" w:rsidRPr="00000000">
              <w:rPr>
                <w:rtl w:val="0"/>
              </w:rPr>
              <w:t xml:space="preserve">Los focos de calor no se distribuyen de manera uniforme. Santa Fe, Formosa y Corrientes registran los valores más altos (0,22, 0,20 y 0,16 millones de focos), seguidas por Chaco y Santiago del Estero; estas cinco reúnen alrededor del 60 % del total del período (1,31 millones). Mendoza, Río Negro, La Pampa, San Luis y Jujuy presentan cantidades muy bajas. 2020 es el año con más focos (405.904), seguido por 2022 (287.685). En el acumulado, los focos se concentran entre agosto y octubre, con el máximo en agosto (0,27 millones).</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spacing w:line="240"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spacing w:line="240" w:lineRule="auto"/>
              <w:rPr>
                <w:b w:val="1"/>
                <w:bCs w:val="1"/>
              </w:rPr>
            </w:pPr>
            <w:r w:rsidDel="00000000" w:rsidR="00000000" w:rsidRPr="00000000">
              <w:rPr>
                <w:b w:val="1"/>
                <w:bCs w:val="1"/>
                <w:rtl w:val="0"/>
              </w:rPr>
              <w:t xml:space="preserve">Variable(s) Crítica(s):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pPr>
            <w:r w:rsidDel="00000000" w:rsidR="00000000" w:rsidRPr="00000000">
              <w:rPr>
                <w:rtl w:val="0"/>
              </w:rPr>
              <w:t xml:space="preserve">Focos de calor por jurisdicción, año y mes, 2020–2025 (tabla cant_focos_prov_mes_2020_2026 y cant_total_focos_año). Página "Focos de calor" del tablero.</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spacing w:line="240"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spacing w:line="240" w:lineRule="auto"/>
              <w:rPr>
                <w:b w:val="1"/>
                <w:bCs w:val="1"/>
              </w:rPr>
            </w:pPr>
            <w:r w:rsidDel="00000000" w:rsidR="00000000" w:rsidRPr="00000000">
              <w:rPr>
                <w:b w:val="1"/>
                <w:bCs w:val="1"/>
                <w:rtl w:val="0"/>
              </w:rPr>
              <w:t xml:space="preserve">Grado de Confianza: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pPr>
            <w:r w:rsidDel="00000000" w:rsidR="00000000" w:rsidRPr="00000000">
              <w:rPr>
                <w:rtl w:val="0"/>
              </w:rPr>
              <w:t xml:space="preserve">Medio. La tabla está completa (1.920 registros, 24 jurisdicciones × 80 meses, sin celdas vacías), pero los focos de calor son una medición satelital y no equivalen a incendios registrados.</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rPr>
                <w:b w:val="1"/>
                <w:bCs w:val="1"/>
              </w:rPr>
            </w:pPr>
            <w:r w:rsidDel="00000000" w:rsidR="00000000" w:rsidRPr="00000000">
              <w:rPr>
                <w:b w:val="1"/>
                <w:bCs w:val="1"/>
                <w:rtl w:val="0"/>
              </w:rPr>
              <w:t xml:space="preserve">El Insight (Conocimiento Profundo)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b w:val="1"/>
                <w:bCs w:val="1"/>
              </w:rPr>
            </w:pPr>
            <w:r w:rsidDel="00000000" w:rsidR="00000000" w:rsidRPr="00000000">
              <w:rPr>
                <w:b w:val="1"/>
                <w:bCs w:val="1"/>
                <w:rtl w:val="0"/>
              </w:rPr>
              <w:t xml:space="preserve">Interpretación: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pPr>
            <w:r w:rsidDel="00000000" w:rsidR="00000000" w:rsidRPr="00000000">
              <w:rPr>
                <w:rtl w:val="0"/>
              </w:rPr>
              <w:t xml:space="preserve">La distribución territorial de los focos es desigual: pocas provincias concentran la mayor parte de los registros y muchas otras aportan una porción mínima. El comportamiento temporal también lo es: 2020 se aleja del resto del período y, dentro del año, los focos se concentran en unos pocos meses.</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spacing w:line="240"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b w:val="1"/>
                <w:bCs w:val="1"/>
              </w:rPr>
            </w:pPr>
            <w:r w:rsidDel="00000000" w:rsidR="00000000" w:rsidRPr="00000000">
              <w:rPr>
                <w:b w:val="1"/>
                <w:bCs w:val="1"/>
                <w:rtl w:val="0"/>
              </w:rPr>
              <w:t xml:space="preserve">Impacto Potencial: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pPr>
            <w:r w:rsidDel="00000000" w:rsidR="00000000" w:rsidRPr="00000000">
              <w:rPr>
                <w:rtl w:val="0"/>
              </w:rPr>
              <w:t xml:space="preserve">Si se ignora, se podrían repartir los esfuerzos de prevención y monitoreo de forma pareja entre provincias y meses. Si se actúa, el seguimiento se concentra donde y cuando se concentran los focos.</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rPr>
                <w:b w:val="1"/>
                <w:bCs w:val="1"/>
              </w:rPr>
            </w:pPr>
            <w:r w:rsidDel="00000000" w:rsidR="00000000" w:rsidRPr="00000000">
              <w:rPr>
                <w:b w:val="1"/>
                <w:bCs w:val="1"/>
                <w:rtl w:val="0"/>
              </w:rPr>
              <w:t xml:space="preserve">Recomendaciones y Próximos Pasos (Accionabilidad)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b w:val="1"/>
                <w:bCs w:val="1"/>
              </w:rPr>
            </w:pPr>
            <w:r w:rsidDel="00000000" w:rsidR="00000000" w:rsidRPr="00000000">
              <w:rPr>
                <w:b w:val="1"/>
                <w:bCs w:val="1"/>
                <w:rtl w:val="0"/>
              </w:rPr>
              <w:t xml:space="preserve">Acción Propuesta: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pPr>
            <w:r w:rsidDel="00000000" w:rsidR="00000000" w:rsidRPr="00000000">
              <w:rPr>
                <w:rtl w:val="0"/>
              </w:rPr>
              <w:t xml:space="preserve">Priorizar el análisis y la comunicación de las provincias del norte y el litoral y de la segunda mitad del año (agosto a octubre), y tratar 2020 como un año atípico.</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spacing w:line="240"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b w:val="1"/>
                <w:bCs w:val="1"/>
              </w:rPr>
            </w:pPr>
            <w:r w:rsidDel="00000000" w:rsidR="00000000" w:rsidRPr="00000000">
              <w:rPr>
                <w:b w:val="1"/>
                <w:bCs w:val="1"/>
                <w:rtl w:val="0"/>
              </w:rPr>
              <w:t xml:space="preserve">Prioridad: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pPr>
            <w:r w:rsidDel="00000000" w:rsidR="00000000" w:rsidRPr="00000000">
              <w:rPr>
                <w:rtl w:val="0"/>
              </w:rPr>
              <w:t xml:space="preserve">Media</w:t>
            </w:r>
          </w:p>
        </w:tc>
      </w:tr>
      <w:tr>
        <w:trPr>
          <w:cantSplit w:val="1"/>
          <w:trHeight w:val="1031.850585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spacing w:line="240"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b w:val="1"/>
                <w:bCs w:val="1"/>
              </w:rPr>
            </w:pPr>
            <w:r w:rsidDel="00000000" w:rsidR="00000000" w:rsidRPr="00000000">
              <w:rPr>
                <w:b w:val="1"/>
                <w:bCs w:val="1"/>
                <w:rtl w:val="0"/>
              </w:rPr>
              <w:t xml:space="preserve">Sprint Futuro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pPr>
            <w:r w:rsidDel="00000000" w:rsidR="00000000" w:rsidRPr="00000000">
              <w:rPr>
                <w:rtl w:val="0"/>
              </w:rPr>
              <w:t xml:space="preserve">Sí. Incluir en el Sprint 3 la visualización de la concentración territorial y temporal de los focos. Los datos de 2026 se excluyeron por ser parciales; evaluar sumarlos cuando estén completos.</w:t>
            </w:r>
          </w:p>
        </w:tc>
      </w:tr>
    </w:tbl>
    <w:p>
      <w:r>
        <w:br w:type="page"/>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2.810495333451"/>
        <w:gridCol w:w="2210.7217428492368"/>
        <w:gridCol w:w="4531.979572840935"/>
        <w:tblGridChange w:id="0">
          <w:tblGrid>
            <w:gridCol w:w="2282.810495333451"/>
            <w:gridCol w:w="2210.7217428492368"/>
            <w:gridCol w:w="4531.979572840935"/>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pPr>
              <w:spacing w:line="240" w:lineRule="auto"/>
              <w:jc w:val="center"/>
              <w:rPr>
                <w:b w:val="1"/>
                <w:bCs w:val="1"/>
              </w:rPr>
            </w:pPr>
            <w:r w:rsidDel="00000000" w:rsidR="00000000" w:rsidRPr="00000000">
              <w:rPr>
                <w:b w:val="1"/>
                <w:bCs w:val="1"/>
                <w:rtl w:val="0"/>
              </w:rPr>
              <w:t xml:space="preserve">SECCIÓN</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pPr>
              <w:spacing w:line="240" w:lineRule="auto"/>
              <w:jc w:val="center"/>
              <w:rPr>
                <w:b w:val="1"/>
                <w:bCs w:val="1"/>
              </w:rPr>
            </w:pPr>
            <w:r w:rsidDel="00000000" w:rsidR="00000000" w:rsidRPr="00000000">
              <w:rPr>
                <w:b w:val="1"/>
                <w:bCs w:val="1"/>
                <w:rtl w:val="0"/>
              </w:rPr>
              <w:t xml:space="preserve">CAMPO DE REGISTRO</w:t>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center"/>
          </w:tcPr>
          <w:p w:rsidR="00000000" w:rsidDel="00000000" w:rsidP="00000000" w:rsidRDefault="00000000" w:rsidRPr="00000000">
            <w:pPr>
              <w:spacing w:line="240" w:lineRule="auto"/>
              <w:jc w:val="center"/>
              <w:rPr>
                <w:b w:val="1"/>
                <w:bCs w:val="1"/>
              </w:rPr>
            </w:pPr>
            <w:r w:rsidDel="00000000" w:rsidR="00000000" w:rsidRPr="00000000">
              <w:rPr>
                <w:b w:val="1"/>
                <w:bCs w:val="1"/>
                <w:rtl w:val="0"/>
              </w:rPr>
              <w:t xml:space="preserve">VALOR</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spacing w:line="240" w:lineRule="auto"/>
              <w:rPr>
                <w:b w:val="1"/>
                <w:bCs w:val="1"/>
              </w:rPr>
            </w:pPr>
            <w:r w:rsidDel="00000000" w:rsidR="00000000" w:rsidRPr="00000000">
              <w:rPr>
                <w:b w:val="1"/>
                <w:bCs w:val="1"/>
                <w:rtl w:val="0"/>
              </w:rPr>
              <w:t xml:space="preserve">Resumen Ejecutivo del Hallazgo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spacing w:line="240" w:lineRule="auto"/>
              <w:rPr>
                <w:b w:val="1"/>
                <w:bCs w:val="1"/>
              </w:rPr>
            </w:pPr>
            <w:r w:rsidDel="00000000" w:rsidR="00000000" w:rsidRPr="00000000">
              <w:rPr>
                <w:b w:val="1"/>
                <w:bCs w:val="1"/>
                <w:rtl w:val="0"/>
              </w:rPr>
              <w:t xml:space="preserve">ID del Insight: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spacing w:line="240" w:lineRule="auto"/>
              <w:rPr/>
            </w:pPr>
            <w:r w:rsidDel="00000000" w:rsidR="00000000" w:rsidRPr="00000000">
              <w:rPr>
                <w:rtl w:val="0"/>
              </w:rPr>
              <w:t xml:space="preserve">INS-003</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spacing w:line="240" w:lineRule="auto"/>
              <w:jc w:val="both"/>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spacing w:line="240" w:lineRule="auto"/>
              <w:rPr>
                <w:b w:val="1"/>
                <w:bCs w:val="1"/>
              </w:rPr>
            </w:pPr>
            <w:r w:rsidDel="00000000" w:rsidR="00000000" w:rsidRPr="00000000">
              <w:rPr>
                <w:b w:val="1"/>
                <w:bCs w:val="1"/>
                <w:rtl w:val="0"/>
              </w:rPr>
              <w:t xml:space="preserve">Título Descriptivo: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spacing w:line="240" w:lineRule="auto"/>
              <w:rPr/>
            </w:pPr>
            <w:r w:rsidDel="00000000" w:rsidR="00000000" w:rsidRPr="00000000">
              <w:rPr>
                <w:rtl w:val="0"/>
              </w:rPr>
              <w:t xml:space="preserve">El NOA concentra cerca de la mitad de los incendios durante todo el período</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spacing w:line="240"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spacing w:line="240" w:lineRule="auto"/>
              <w:rPr>
                <w:b w:val="1"/>
                <w:bCs w:val="1"/>
              </w:rPr>
            </w:pPr>
            <w:r w:rsidDel="00000000" w:rsidR="00000000" w:rsidRPr="00000000">
              <w:rPr>
                <w:b w:val="1"/>
                <w:bCs w:val="1"/>
                <w:rtl w:val="0"/>
              </w:rPr>
              <w:t xml:space="preserve">Categoría: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spacing w:line="240" w:lineRule="auto"/>
              <w:rPr/>
            </w:pPr>
            <w:r w:rsidDel="00000000" w:rsidR="00000000" w:rsidRPr="00000000">
              <w:rPr>
                <w:rtl w:val="0"/>
              </w:rPr>
              <w:t xml:space="preserve">Distribución geográfica / Comportamiento regional</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spacing w:line="240" w:lineRule="auto"/>
              <w:rPr>
                <w:b w:val="1"/>
                <w:bCs w:val="1"/>
              </w:rPr>
            </w:pPr>
            <w:r w:rsidDel="00000000" w:rsidR="00000000" w:rsidRPr="00000000">
              <w:rPr>
                <w:b w:val="1"/>
                <w:bCs w:val="1"/>
                <w:rtl w:val="0"/>
              </w:rPr>
              <w:t xml:space="preserve">Contexto y Evidencia Estadística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spacing w:line="240" w:lineRule="auto"/>
              <w:rPr>
                <w:b w:val="1"/>
                <w:bCs w:val="1"/>
              </w:rPr>
            </w:pPr>
            <w:r w:rsidDel="00000000" w:rsidR="00000000" w:rsidRPr="00000000">
              <w:rPr>
                <w:b w:val="1"/>
                <w:bCs w:val="1"/>
                <w:rtl w:val="0"/>
              </w:rPr>
              <w:t xml:space="preserve">Patrón Identificado: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pPr>
            <w:r w:rsidDel="00000000" w:rsidR="00000000" w:rsidRPr="00000000">
              <w:rPr>
                <w:rtl w:val="0"/>
              </w:rPr>
              <w:t xml:space="preserve">El NOA concentra la mayor cantidad de incendios (6.720 de 13.486, cerca de la mitad del período) y es la región con más incendios en todos los años analizados. Las demás regiones tienen valores bastante menores y más cercanos entre sí: Centro 1.852, NEA 1.598, Patagonia 1.329, Pampeana 1.088 y Norte 899. Su peso cambia de un año a otro: el Norte baja de 348 incendios en 2020 a 11 en 2025, y el NEA tiene un aumento marcado en 2024 (793) que no se mantiene al año siguiente (70). A nivel total, 2022 (2.657) y 2024 (2.749) son los años con más incendios.</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spacing w:line="240"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spacing w:line="240" w:lineRule="auto"/>
              <w:rPr>
                <w:b w:val="1"/>
                <w:bCs w:val="1"/>
              </w:rPr>
            </w:pPr>
            <w:r w:rsidDel="00000000" w:rsidR="00000000" w:rsidRPr="00000000">
              <w:rPr>
                <w:b w:val="1"/>
                <w:bCs w:val="1"/>
                <w:rtl w:val="0"/>
              </w:rPr>
              <w:t xml:space="preserve">Variable(s) Crítica(s):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pPr>
            <w:r w:rsidDel="00000000" w:rsidR="00000000" w:rsidRPr="00000000">
              <w:rPr>
                <w:rtl w:val="0"/>
              </w:rPr>
              <w:t xml:space="preserve">Cantidad de incendios por región y año, 2020–2025 (tabla cant_incen_regi_2020_2026, 6 regiones × 7 años). Página "Incendios por región" del tablero.</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spacing w:line="240"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spacing w:line="240" w:lineRule="auto"/>
              <w:rPr>
                <w:b w:val="1"/>
                <w:bCs w:val="1"/>
              </w:rPr>
            </w:pPr>
            <w:r w:rsidDel="00000000" w:rsidR="00000000" w:rsidRPr="00000000">
              <w:rPr>
                <w:b w:val="1"/>
                <w:bCs w:val="1"/>
                <w:rtl w:val="0"/>
              </w:rPr>
              <w:t xml:space="preserve">Grado de Confianza: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pPr>
            <w:r w:rsidDel="00000000" w:rsidR="00000000" w:rsidRPr="00000000">
              <w:rPr>
                <w:rtl w:val="0"/>
              </w:rPr>
              <w:t xml:space="preserve">Medio. Los totales regionales provienen de reportes mensuales del SNMF y esta página suma 13.486 incendios (incluye parques nacionales de 2020), frente a 13.326 de la página "Cantidad vs superficie".</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rPr>
                <w:b w:val="1"/>
                <w:bCs w:val="1"/>
              </w:rPr>
            </w:pPr>
            <w:r w:rsidDel="00000000" w:rsidR="00000000" w:rsidRPr="00000000">
              <w:rPr>
                <w:b w:val="1"/>
                <w:bCs w:val="1"/>
                <w:rtl w:val="0"/>
              </w:rPr>
              <w:t xml:space="preserve">El Insight (Conocimiento Profundo)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b w:val="1"/>
                <w:bCs w:val="1"/>
              </w:rPr>
            </w:pPr>
            <w:r w:rsidDel="00000000" w:rsidR="00000000" w:rsidRPr="00000000">
              <w:rPr>
                <w:b w:val="1"/>
                <w:bCs w:val="1"/>
                <w:rtl w:val="0"/>
              </w:rPr>
              <w:t xml:space="preserve">Interpretación: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pPr>
            <w:r w:rsidDel="00000000" w:rsidR="00000000" w:rsidRPr="00000000">
              <w:rPr>
                <w:rtl w:val="0"/>
              </w:rPr>
              <w:t xml:space="preserve">La distribución de los incendios entre regiones es desigual, con una región que se destaca claramente sobre las demás. Esa distribución no es fija: la participación de las regiones varía entre años, aunque el liderazgo del NOA se mantiene.</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spacing w:line="240"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b w:val="1"/>
                <w:bCs w:val="1"/>
              </w:rPr>
            </w:pPr>
            <w:r w:rsidDel="00000000" w:rsidR="00000000" w:rsidRPr="00000000">
              <w:rPr>
                <w:b w:val="1"/>
                <w:bCs w:val="1"/>
                <w:rtl w:val="0"/>
              </w:rPr>
              <w:t xml:space="preserve">Impacto Potencial: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pPr>
            <w:r w:rsidDel="00000000" w:rsidR="00000000" w:rsidRPr="00000000">
              <w:rPr>
                <w:rtl w:val="0"/>
              </w:rPr>
              <w:t xml:space="preserve">Si se ignora, el análisis nacional puede ocultar que una sola región explica casi la mitad de los incendios y que algunos picos (como el NEA en 2024) son episodios de un año. Si se actúa, se separa la concentración estable (NOA) de las variaciones anuales de las demás regiones.</w:t>
            </w:r>
          </w:p>
        </w:tc>
      </w:tr>
      <w:tr>
        <w:trPr>
          <w:cantSplit w:val="1"/>
          <w:trHeight w:val="420" w:hRule="atLeast"/>
          <w:tblHeader w:val="0"/>
        </w:trPr>
        <w:tc>
          <w:tcPr>
            <w:vMerge w:val="restart"/>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rPr>
                <w:b w:val="1"/>
                <w:bCs w:val="1"/>
              </w:rPr>
            </w:pPr>
            <w:r w:rsidDel="00000000" w:rsidR="00000000" w:rsidRPr="00000000">
              <w:rPr>
                <w:b w:val="1"/>
                <w:bCs w:val="1"/>
                <w:rtl w:val="0"/>
              </w:rPr>
              <w:t xml:space="preserve">Recomendaciones y Próximos Pasos (Accionabilidad)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b w:val="1"/>
                <w:bCs w:val="1"/>
              </w:rPr>
            </w:pPr>
            <w:r w:rsidDel="00000000" w:rsidR="00000000" w:rsidRPr="00000000">
              <w:rPr>
                <w:b w:val="1"/>
                <w:bCs w:val="1"/>
                <w:rtl w:val="0"/>
              </w:rPr>
              <w:t xml:space="preserve">Acción Propuesta: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pPr>
            <w:r w:rsidDel="00000000" w:rsidR="00000000" w:rsidRPr="00000000">
              <w:rPr>
                <w:rtl w:val="0"/>
              </w:rPr>
              <w:t xml:space="preserve">Destacar al NOA como la región de mayor concentración y mostrar la evolución anual por región, marcando el NEA 2024 como episodio puntual.</w:t>
            </w:r>
          </w:p>
        </w:tc>
      </w:tr>
      <w:tr>
        <w:trPr>
          <w:cantSplit w:val="1"/>
          <w:trHeight w:val="42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spacing w:line="240"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b w:val="1"/>
                <w:bCs w:val="1"/>
              </w:rPr>
            </w:pPr>
            <w:r w:rsidDel="00000000" w:rsidR="00000000" w:rsidRPr="00000000">
              <w:rPr>
                <w:b w:val="1"/>
                <w:bCs w:val="1"/>
                <w:rtl w:val="0"/>
              </w:rPr>
              <w:t xml:space="preserve">Prioridad: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pPr>
            <w:r w:rsidDel="00000000" w:rsidR="00000000" w:rsidRPr="00000000">
              <w:rPr>
                <w:rtl w:val="0"/>
              </w:rPr>
              <w:t xml:space="preserve">Media</w:t>
            </w:r>
          </w:p>
        </w:tc>
      </w:tr>
      <w:tr>
        <w:trPr>
          <w:cantSplit w:val="1"/>
          <w:trHeight w:val="1031.8505859375" w:hRule="atLeast"/>
          <w:tblHeader w:val="0"/>
        </w:trPr>
        <w:tc>
          <w:tcPr>
            <w:vMerge w:val="continue"/>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pPr>
              <w:spacing w:line="240"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b w:val="1"/>
                <w:bCs w:val="1"/>
              </w:rPr>
            </w:pPr>
            <w:r w:rsidDel="00000000" w:rsidR="00000000" w:rsidRPr="00000000">
              <w:rPr>
                <w:b w:val="1"/>
                <w:bCs w:val="1"/>
                <w:rtl w:val="0"/>
              </w:rPr>
              <w:t xml:space="preserve">Sprint Futuro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pPr>
              <w:rPr/>
            </w:pPr>
            <w:r w:rsidDel="00000000" w:rsidR="00000000" w:rsidRPr="00000000">
              <w:rPr>
                <w:rtl w:val="0"/>
              </w:rPr>
              <w:t xml:space="preserve">Sí. Para el Sprint 3, incorporar la comparación regional en la narrativa del producto de visualización y evaluar un nivel de detalle por provincia dentro del NOA y el NEA.</w:t>
            </w:r>
          </w:p>
        </w:tc>
      </w:tr>
    </w:tbl>
    <w:p w:rsidR="00000000" w:rsidDel="00000000" w:rsidP="00000000" w:rsidRDefault="00000000" w:rsidRPr="00000000" w14:paraId="00000027">
      <w:pPr>
        <w:spacing w:after="240" w:before="240" w:lineRule="auto"/>
        <w:ind w:right="600"/>
        <w:jc w:val="both"/>
        <w:rPr/>
      </w:pPr>
      <w:r w:rsidDel="00000000" w:rsidR="00000000" w:rsidRPr="00000000">
        <w:rPr>
          <w:rtl w:val="0"/>
        </w:rPr>
        <w:t xml:space="preserve">Cada equipo debe saber que un buen reporte de insight no solo dice "qué pasó", sino "por qué es importante".</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