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pPr>
      <w:bookmarkStart w:colFirst="0" w:colLast="0" w:name="_8e71osqjrt1q" w:id="0"/>
      <w:bookmarkEnd w:id="0"/>
      <w:r w:rsidDel="00000000" w:rsidR="00000000" w:rsidRPr="00000000">
        <w:rPr>
          <w:rtl w:val="0"/>
        </w:rPr>
        <w:t xml:space="preserve">Plantilla de Reporte de Insights</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Para que el equipo documente sus hallazgos de forma profesional y estandarizada al cierre del </w:t>
      </w:r>
      <w:r w:rsidDel="00000000" w:rsidR="00000000" w:rsidRPr="00000000">
        <w:rPr>
          <w:i w:val="1"/>
          <w:iCs w:val="1"/>
          <w:rtl w:val="0"/>
        </w:rPr>
        <w:t xml:space="preserve">Sprint 2</w:t>
      </w:r>
      <w:r w:rsidDel="00000000" w:rsidR="00000000" w:rsidRPr="00000000">
        <w:rPr>
          <w:rtl w:val="0"/>
        </w:rPr>
        <w:t xml:space="preserve">, se sugiere la siguiente </w:t>
      </w:r>
      <w:r w:rsidDel="00000000" w:rsidR="00000000" w:rsidRPr="00000000">
        <w:rPr>
          <w:i w:val="1"/>
          <w:iCs w:val="1"/>
          <w:rtl w:val="0"/>
        </w:rPr>
        <w:t xml:space="preserve">Plantilla de Reporte de Insights</w:t>
      </w:r>
      <w:r w:rsidDel="00000000" w:rsidR="00000000" w:rsidRPr="00000000">
        <w:rPr>
          <w:rtl w:val="0"/>
        </w:rPr>
        <w:t xml:space="preserve">. Esta estructura asegura que la evidencia se traduzca en valor estratégico directo para los interesados (</w:t>
      </w:r>
      <w:r w:rsidDel="00000000" w:rsidR="00000000" w:rsidRPr="00000000">
        <w:rPr>
          <w:i w:val="1"/>
          <w:iCs w:val="1"/>
          <w:rtl w:val="0"/>
        </w:rPr>
        <w:t xml:space="preserve">stakeholders</w:t>
      </w:r>
      <w:r w:rsidDel="00000000" w:rsidR="00000000" w:rsidRPr="00000000">
        <w:rPr>
          <w:rtl w:val="0"/>
        </w:rPr>
        <w:t xml:space="preserve">).</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2.810495333451"/>
        <w:gridCol w:w="2210.7217428492368"/>
        <w:gridCol w:w="4531.979572840935"/>
        <w:tblGridChange w:id="0">
          <w:tblGrid>
            <w:gridCol w:w="2282.810495333451"/>
            <w:gridCol w:w="2210.7217428492368"/>
            <w:gridCol w:w="4531.979572840935"/>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14:paraId="00000003">
            <w:pPr>
              <w:spacing w:line="240" w:lineRule="auto"/>
              <w:jc w:val="center"/>
              <w:rPr>
                <w:b w:val="1"/>
                <w:bCs w:val="1"/>
              </w:rPr>
            </w:pPr>
            <w:r w:rsidDel="00000000" w:rsidR="00000000" w:rsidRPr="00000000">
              <w:rPr>
                <w:b w:val="1"/>
                <w:bCs w:val="1"/>
                <w:rtl w:val="0"/>
              </w:rPr>
              <w:t xml:space="preserve">SECCIÓN</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14:paraId="00000004">
            <w:pPr>
              <w:spacing w:line="240" w:lineRule="auto"/>
              <w:jc w:val="center"/>
              <w:rPr>
                <w:b w:val="1"/>
                <w:bCs w:val="1"/>
              </w:rPr>
            </w:pPr>
            <w:r w:rsidDel="00000000" w:rsidR="00000000" w:rsidRPr="00000000">
              <w:rPr>
                <w:b w:val="1"/>
                <w:bCs w:val="1"/>
                <w:rtl w:val="0"/>
              </w:rPr>
              <w:t xml:space="preserve">CAMPO DE REGISTRO</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14:paraId="00000005">
            <w:pPr>
              <w:spacing w:line="240" w:lineRule="auto"/>
              <w:jc w:val="center"/>
              <w:rPr>
                <w:b w:val="1"/>
                <w:bCs w:val="1"/>
              </w:rPr>
            </w:pPr>
            <w:r w:rsidDel="00000000" w:rsidR="00000000" w:rsidRPr="00000000">
              <w:rPr>
                <w:b w:val="1"/>
                <w:bCs w:val="1"/>
                <w:rtl w:val="0"/>
              </w:rPr>
              <w:t xml:space="preserve">VALOR</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06">
            <w:pPr>
              <w:spacing w:line="240" w:lineRule="auto"/>
              <w:rPr>
                <w:b w:val="1"/>
                <w:bCs w:val="1"/>
              </w:rPr>
            </w:pPr>
            <w:r w:rsidDel="00000000" w:rsidR="00000000" w:rsidRPr="00000000">
              <w:rPr>
                <w:b w:val="1"/>
                <w:bCs w:val="1"/>
                <w:rtl w:val="0"/>
              </w:rPr>
              <w:t xml:space="preserve">Resumen Ejecutivo del Hallazgo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7">
            <w:pPr>
              <w:spacing w:line="240" w:lineRule="auto"/>
              <w:rPr>
                <w:b w:val="1"/>
                <w:bCs w:val="1"/>
              </w:rPr>
            </w:pPr>
            <w:r w:rsidDel="00000000" w:rsidR="00000000" w:rsidRPr="00000000">
              <w:rPr>
                <w:b w:val="1"/>
                <w:bCs w:val="1"/>
                <w:rtl w:val="0"/>
              </w:rPr>
              <w:t xml:space="preserve">ID del Insight: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8">
            <w:pPr>
              <w:spacing w:line="240" w:lineRule="auto"/>
              <w:rPr/>
            </w:pPr>
            <w:r w:rsidDel="00000000" w:rsidR="00000000" w:rsidRPr="00000000">
              <w:rPr>
                <w:rtl w:val="0"/>
              </w:rPr>
              <w:t xml:space="preserve">INS-001</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09">
            <w:pPr>
              <w:spacing w:line="240" w:lineRule="auto"/>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A">
            <w:pPr>
              <w:spacing w:line="240" w:lineRule="auto"/>
              <w:rPr>
                <w:b w:val="1"/>
                <w:bCs w:val="1"/>
              </w:rPr>
            </w:pPr>
            <w:r w:rsidDel="00000000" w:rsidR="00000000" w:rsidRPr="00000000">
              <w:rPr>
                <w:b w:val="1"/>
                <w:bCs w:val="1"/>
                <w:rtl w:val="0"/>
              </w:rPr>
              <w:t xml:space="preserve">Título Descriptivo: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B">
            <w:pPr>
              <w:spacing w:line="240" w:lineRule="auto"/>
              <w:rPr/>
            </w:pPr>
            <w:r w:rsidDel="00000000" w:rsidR="00000000" w:rsidRPr="00000000">
              <w:rPr>
                <w:rtl w:val="0"/>
              </w:rPr>
              <w:t xml:space="preserve">Más incendios registrados, pero cada vez menos hectáreas quemadas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0C">
            <w:pPr>
              <w:spacing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D">
            <w:pPr>
              <w:spacing w:line="240" w:lineRule="auto"/>
              <w:rPr>
                <w:b w:val="1"/>
                <w:bCs w:val="1"/>
              </w:rPr>
            </w:pPr>
            <w:r w:rsidDel="00000000" w:rsidR="00000000" w:rsidRPr="00000000">
              <w:rPr>
                <w:b w:val="1"/>
                <w:bCs w:val="1"/>
                <w:rtl w:val="0"/>
              </w:rPr>
              <w:t xml:space="preserve">Categoría: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E">
            <w:pPr>
              <w:spacing w:line="240" w:lineRule="auto"/>
              <w:rPr/>
            </w:pPr>
            <w:r w:rsidDel="00000000" w:rsidR="00000000" w:rsidRPr="00000000">
              <w:rPr>
                <w:rtl w:val="0"/>
              </w:rPr>
              <w:t xml:space="preserve">Tendencia temporal / Gravedad de los incendios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0F">
            <w:pPr>
              <w:spacing w:line="240" w:lineRule="auto"/>
              <w:rPr>
                <w:b w:val="1"/>
                <w:bCs w:val="1"/>
              </w:rPr>
            </w:pPr>
            <w:r w:rsidDel="00000000" w:rsidR="00000000" w:rsidRPr="00000000">
              <w:rPr>
                <w:b w:val="1"/>
                <w:bCs w:val="1"/>
                <w:rtl w:val="0"/>
              </w:rPr>
              <w:t xml:space="preserve">Contexto y Evidencia Estadística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0">
            <w:pPr>
              <w:spacing w:line="240" w:lineRule="auto"/>
              <w:rPr>
                <w:b w:val="1"/>
                <w:bCs w:val="1"/>
              </w:rPr>
            </w:pPr>
            <w:r w:rsidDel="00000000" w:rsidR="00000000" w:rsidRPr="00000000">
              <w:rPr>
                <w:b w:val="1"/>
                <w:bCs w:val="1"/>
                <w:rtl w:val="0"/>
              </w:rPr>
              <w:t xml:space="preserve">Patrón Identificado: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Entre 2020 y 2025 la cantidad de incendios registrados creció (1.743 en 2020; máximo de 2.750 en 2024), pero las hectáreas quemadas cayeron (984.157 ha en 2020; 306.456 ha en 2024). Como resultado, el promedio por incendio bajó de unas 565 ha (2020) a unas 111 ha (2024) y se mantuvo bajo en 2025 (unas 262 ha).</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12">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3">
            <w:pPr>
              <w:spacing w:line="240" w:lineRule="auto"/>
              <w:rPr>
                <w:b w:val="1"/>
                <w:bCs w:val="1"/>
              </w:rPr>
            </w:pPr>
            <w:r w:rsidDel="00000000" w:rsidR="00000000" w:rsidRPr="00000000">
              <w:rPr>
                <w:b w:val="1"/>
                <w:bCs w:val="1"/>
                <w:rtl w:val="0"/>
              </w:rPr>
              <w:t xml:space="preserve">Variable(s) Crítica(s):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Cantidad de incendios por año (rii_a / rii_b), hectáreas quemadas por año (rii_c) y hectáreas por incendio (calculada: hectáreas ÷ incendios). Período 2020–2025; 2026 excluido por ser parcial (hasta marzo).</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15">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6">
            <w:pPr>
              <w:spacing w:line="240" w:lineRule="auto"/>
              <w:rPr>
                <w:b w:val="1"/>
                <w:bCs w:val="1"/>
              </w:rPr>
            </w:pPr>
            <w:r w:rsidDel="00000000" w:rsidR="00000000" w:rsidRPr="00000000">
              <w:rPr>
                <w:b w:val="1"/>
                <w:bCs w:val="1"/>
                <w:rtl w:val="0"/>
              </w:rPr>
              <w:t xml:space="preserve">Grado de Confianza: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Medio. Son series oficiales completas a nivel nacional, pero con pocos años (6) y valores "s/d" en algunas provincias.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El Insight (Conocimiento Profundo)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9">
            <w:pPr>
              <w:rPr>
                <w:b w:val="1"/>
                <w:bCs w:val="1"/>
              </w:rPr>
            </w:pPr>
            <w:r w:rsidDel="00000000" w:rsidR="00000000" w:rsidRPr="00000000">
              <w:rPr>
                <w:b w:val="1"/>
                <w:bCs w:val="1"/>
                <w:rtl w:val="0"/>
              </w:rPr>
              <w:t xml:space="preserve">Interpretación: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Contar incendios no alcanza para medir el daño: más incendios no significa más superficie perdida. Una posible explicación es una mejor detección y registro de focos chicos, o una respuesta más rápida; los datasets no incluyen causa ni tiempos de respuesta, así que esto queda como hipótesis y no como conclusión.</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1B">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C">
            <w:pPr>
              <w:rPr>
                <w:b w:val="1"/>
                <w:bCs w:val="1"/>
              </w:rPr>
            </w:pPr>
            <w:r w:rsidDel="00000000" w:rsidR="00000000" w:rsidRPr="00000000">
              <w:rPr>
                <w:b w:val="1"/>
                <w:bCs w:val="1"/>
                <w:rtl w:val="0"/>
              </w:rPr>
              <w:t xml:space="preserve">Impacto Potencial: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Si se ignora, un informe que mida solo la cantidad de incendios podría concluir que la situación empeora cuando la superficie quemada no lo muestra. Si se actúa sobre esto, los indicadores del proyecto pasan a ser hectáreas y hectáreas por incendio, no solo conteos.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1E">
            <w:pPr>
              <w:rPr>
                <w:b w:val="1"/>
                <w:bCs w:val="1"/>
              </w:rPr>
            </w:pPr>
            <w:r w:rsidDel="00000000" w:rsidR="00000000" w:rsidRPr="00000000">
              <w:rPr>
                <w:b w:val="1"/>
                <w:bCs w:val="1"/>
                <w:rtl w:val="0"/>
              </w:rPr>
              <w:t xml:space="preserve">Recomendaciones y Próximos Pasos (Accionabilidad)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F">
            <w:pPr>
              <w:rPr>
                <w:b w:val="1"/>
                <w:bCs w:val="1"/>
              </w:rPr>
            </w:pPr>
            <w:r w:rsidDel="00000000" w:rsidR="00000000" w:rsidRPr="00000000">
              <w:rPr>
                <w:b w:val="1"/>
                <w:bCs w:val="1"/>
                <w:rtl w:val="0"/>
              </w:rPr>
              <w:t xml:space="preserve">Acción Propuesta: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Usar las hectáreas por incendio como indicador principal del análisis y presentarlo junto con la cantidad de incendios. Aclarar en el informe que la explicación (detección vs. combate) es una hipótesis.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21">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2">
            <w:pPr>
              <w:rPr>
                <w:b w:val="1"/>
                <w:bCs w:val="1"/>
              </w:rPr>
            </w:pPr>
            <w:r w:rsidDel="00000000" w:rsidR="00000000" w:rsidRPr="00000000">
              <w:rPr>
                <w:b w:val="1"/>
                <w:bCs w:val="1"/>
                <w:rtl w:val="0"/>
              </w:rPr>
              <w:t xml:space="preserve">Prioridad: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Media</w:t>
            </w:r>
          </w:p>
        </w:tc>
      </w:tr>
      <w:tr>
        <w:trPr>
          <w:cantSplit w:val="1"/>
          <w:trHeight w:val="1031.8505859375"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24">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5">
            <w:pPr>
              <w:rPr>
                <w:b w:val="1"/>
                <w:bCs w:val="1"/>
              </w:rPr>
            </w:pPr>
            <w:r w:rsidDel="00000000" w:rsidR="00000000" w:rsidRPr="00000000">
              <w:rPr>
                <w:b w:val="1"/>
                <w:bCs w:val="1"/>
                <w:rtl w:val="0"/>
              </w:rPr>
              <w:t xml:space="preserve">Sprint Futuro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Sí. Incorporar la columna calculada "hectáreas por incendio" en el modelo de datos y las visualizaciones del Sprint 3. Si fuera posible, buscar un dato de cantidad de brigadistas o de tiempo de respuesta para contrastar la hipótesis.</w:t>
            </w:r>
          </w:p>
        </w:tc>
      </w:tr>
    </w:tbl>
    <w:p>
      <w:r>
        <w:br w:type="page"/>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2.810495333451"/>
        <w:gridCol w:w="2210.7217428492368"/>
        <w:gridCol w:w="4531.979572840935"/>
        <w:tblGridChange w:id="0">
          <w:tblGrid>
            <w:gridCol w:w="2282.810495333451"/>
            <w:gridCol w:w="2210.7217428492368"/>
            <w:gridCol w:w="4531.979572840935"/>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SECCIÓN</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CAMPO DE REGISTRO</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VALOR</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Resumen Ejecutivo del Hallazgo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ID del Insight: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INS-002</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Título Descriptivo: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Patagonia: pocos incendios, pero muy grandes, y en 2026 concentra casi todo el daño nacional</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Categoría: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Distribución geográfica / Gravedad de los incendios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Contexto y Evidencia Estadística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Patrón Identificado: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En Chubut, 2022 tuvo 39 incendios y 80.294 ha (unas 2.059 ha por incendio) y 2025 tuvo 64 incendios y 88.439 ha (unas 1.382 ha por incendio). En enero–marzo de 2026, Chubut ya acumula 32.761 ha con solo 20 incendios, el 62% de las 52.989 ha del país. La Patagonia registra 63 de los 186 incendios del trimestre (34%), mientras que en 2020–2025 su participación fue de alrededor del 10%.</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Variable(s) Crítica(s):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Hectáreas por provincia y año (rii_c), incendios por provincia (rii_b) e incendios por región (rii_e). Además, focos de calor por mes (rii_d): en Chubut el 69% se concentra en enero y febrero, y el pico nacional de incendios registrados es en julio–octubre.</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Grado de Confianza: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Medio. Los datos oficiales son consistentes, pero 2026 es un año parcial (solo hasta marzo) y la comparación se basa en pocos eventos grandes.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rPr>
                <w:b w:val="1"/>
                <w:bCs w:val="1"/>
              </w:rPr>
            </w:pPr>
            <w:r w:rsidDel="00000000" w:rsidR="00000000" w:rsidRPr="00000000">
              <w:rPr>
                <w:b w:val="1"/>
                <w:bCs w:val="1"/>
                <w:rtl w:val="0"/>
              </w:rPr>
              <w:t xml:space="preserve">El Insight (Conocimiento Profundo)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Interpretación: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La Patagonia no se comporta como el resto del país: su temporada es el verano, no el invierno-primavera, y pocos incendios explican gran parte de la superficie perdida. Por eso mirar solo el promedio nacional oculta el problema patagónico. Los datasets no explican las causas.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Impacto Potencial: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Si se ignora, la prevención se concentra en la temporada y las provincias que dominan el conteo (Tucumán, Jujuy) y se subestima el riesgo patagónico, donde un solo incendio puede ser decisivo. Si se actúa, se justifica reforzar el monitoreo en Chubut y la Patagonia entre diciembre y marzo.</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rPr>
                <w:b w:val="1"/>
                <w:bCs w:val="1"/>
              </w:rPr>
            </w:pPr>
            <w:r w:rsidDel="00000000" w:rsidR="00000000" w:rsidRPr="00000000">
              <w:rPr>
                <w:b w:val="1"/>
                <w:bCs w:val="1"/>
                <w:rtl w:val="0"/>
              </w:rPr>
              <w:t xml:space="preserve">Recomendaciones y Próximos Pasos (Accionabilidad)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Acción Propuesta: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Incluir la Patagonia como una región con perfil propio en el informe. Destacar a Chubut como caso de estudio y mostrar la estacionalidad (enero–marzo) frente al resto del país.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Prioridad: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Alta</w:t>
            </w:r>
          </w:p>
        </w:tc>
      </w:tr>
      <w:tr>
        <w:trPr>
          <w:cantSplit w:val="1"/>
          <w:trHeight w:val="1031.8505859375"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Sprint Futuro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Sí. Actualizar el análisis cuando haya datos de 2026 completos. Evaluar usar el Reporte mensual de alerta temprana del Servicio Nacional de Manejo del Fuego (clima y vegetación) como contexto, sin mezclarlo con los datasets de incendios.</w:t>
            </w:r>
          </w:p>
        </w:tc>
      </w:tr>
    </w:tbl>
    <w:p>
      <w:r>
        <w:br w:type="page"/>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2.810495333451"/>
        <w:gridCol w:w="2210.7217428492368"/>
        <w:gridCol w:w="4531.979572840935"/>
        <w:tblGridChange w:id="0">
          <w:tblGrid>
            <w:gridCol w:w="2282.810495333451"/>
            <w:gridCol w:w="2210.7217428492368"/>
            <w:gridCol w:w="4531.979572840935"/>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SECCIÓN</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CAMPO DE REGISTRO</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VALOR</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Resumen Ejecutivo del Hallazgo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ID del Insight: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INS-003</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Título Descriptivo: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El récord de incendios de 2024 lo explica una sola región: el NEA</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Categoría: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Anomalía / Distribución geográfica</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Contexto y Evidencia Estadística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Patrón Identificado: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En 2024 hubo 2.750 incendios, el máximo del período. El NEA aportó 793 de ellos (29%), frente a 70 en 2025 y 163 en 2023. Sin el NEA, 2024 habría tenido unos 1.950 incendios, menos que 2021, 2022 y 2023. Entre febrero y abril de 2024 se concentraron 903 incendios (340, 380 y 183 por mes), muy por encima de lo habitual en esos meses.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Variable(s) Crítica(s):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Incendios por región y año (rii_e) e incendios por mes y año (rii_a). Período 2020–2025.</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Grado de Confianza: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Medio. Los datos son oficiales, pero no indican la causa del episodio ni qué provincias lo explican dentro del NEA.</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rPr>
                <w:b w:val="1"/>
                <w:bCs w:val="1"/>
              </w:rPr>
            </w:pPr>
            <w:r w:rsidDel="00000000" w:rsidR="00000000" w:rsidRPr="00000000">
              <w:rPr>
                <w:b w:val="1"/>
                <w:bCs w:val="1"/>
                <w:rtl w:val="0"/>
              </w:rPr>
              <w:t xml:space="preserve">El Insight (Conocimiento Profundo)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Interpretación: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El máximo de 2024 fue un episodio concentrado en el tiempo y el espacio (verano en el NEA), no un aumento generalizado en todo el país. Leer solo el total nacional lleva a una tendencia que no existe de la misma forma en las regiones.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Impacto Potencial: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Si se ignora, se podría interpretar 2024 como el inicio de una tendencia nacional al alza. Si se actúa, el análisis separa la tendencia estructural de los episodios extremos.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rPr>
                <w:b w:val="1"/>
                <w:bCs w:val="1"/>
              </w:rPr>
            </w:pPr>
            <w:r w:rsidDel="00000000" w:rsidR="00000000" w:rsidRPr="00000000">
              <w:rPr>
                <w:b w:val="1"/>
                <w:bCs w:val="1"/>
                <w:rtl w:val="0"/>
              </w:rPr>
              <w:t xml:space="preserve">Recomendaciones y Próximos Pasos (Accionabilidad)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Acción Propuesta: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Analizar la tendencia por región y no solo en el total nacional, y marcar 2024 como un episodio atípico en las visualizaciones.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Prioridad: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Media</w:t>
            </w:r>
          </w:p>
        </w:tc>
      </w:tr>
      <w:tr>
        <w:trPr>
          <w:cantSplit w:val="1"/>
          <w:trHeight w:val="1031.8505859375"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Sprint Futuro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Sí. Desagregar el NEA por provincia (en el Sprint 3) para identificar cuáles explican el pico. Verificar que los nombres de provincia estén unificados en la limpieza de datos.</w:t>
            </w:r>
          </w:p>
        </w:tc>
      </w:tr>
    </w:tbl>
    <w:p>
      <w:r>
        <w:br w:type="page"/>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2.810495333451"/>
        <w:gridCol w:w="2210.7217428492368"/>
        <w:gridCol w:w="4531.979572840935"/>
        <w:tblGridChange w:id="0">
          <w:tblGrid>
            <w:gridCol w:w="2282.810495333451"/>
            <w:gridCol w:w="2210.7217428492368"/>
            <w:gridCol w:w="4531.979572840935"/>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SECCIÓN</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CAMPO DE REGISTRO</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center"/>
          </w:tcPr>
          <w:p w:rsidR="00000000" w:rsidDel="00000000" w:rsidP="00000000" w:rsidRDefault="00000000" w:rsidRPr="00000000">
            <w:pPr>
              <w:spacing w:line="240" w:lineRule="auto"/>
              <w:jc w:val="center"/>
              <w:rPr>
                <w:b w:val="1"/>
                <w:bCs w:val="1"/>
              </w:rPr>
            </w:pPr>
            <w:r w:rsidDel="00000000" w:rsidR="00000000" w:rsidRPr="00000000">
              <w:rPr>
                <w:b w:val="1"/>
                <w:bCs w:val="1"/>
                <w:rtl w:val="0"/>
              </w:rPr>
              <w:t xml:space="preserve">VALOR</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Resumen Ejecutivo del Hallazgo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ID del Insight: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INS-004</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Título Descriptivo: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Los focos de calor satelitales casi no predicen los incendios registrados ni las hectáreas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Categoría: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pPr>
            <w:r w:rsidDel="00000000" w:rsidR="00000000" w:rsidRPr="00000000">
              <w:rPr>
                <w:rtl w:val="0"/>
              </w:rPr>
              <w:t xml:space="preserve">Calidad y alcance de los datos</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Contexto y Evidencia Estadística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Patrón Identificado: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A nivel provincia-año (2020–2025), la correlación de Spearman entre focos de calor e incendios registrados es -0,02, y entre focos de calor y hectáreas es 0,20. El año 2020 tuvo 405.904 focos de calor (unas 2,5 veces el promedio de los demás años), con grandes aumentos en Santa Fe, Formosa y Chaco, pero no fue el año con más hectáreas quemadas por incendio.</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Variable(s) Crítica(s):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Focos de calor por provincia y año (rii_d), incendios por provincia (rii_b) y hectáreas por provincia (rii_c).</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spacing w:line="240" w:lineRule="auto"/>
              <w:rPr>
                <w:b w:val="1"/>
                <w:bCs w:val="1"/>
              </w:rPr>
            </w:pPr>
            <w:r w:rsidDel="00000000" w:rsidR="00000000" w:rsidRPr="00000000">
              <w:rPr>
                <w:b w:val="1"/>
                <w:bCs w:val="1"/>
                <w:rtl w:val="0"/>
              </w:rPr>
              <w:t xml:space="preserve">Grado de Confianza: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Medio. La relación es débil en los datos disponibles; no se pudo analizar el tipo de foco (incendio, quema agrícola u otro).</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rPr>
                <w:b w:val="1"/>
                <w:bCs w:val="1"/>
              </w:rPr>
            </w:pPr>
            <w:r w:rsidDel="00000000" w:rsidR="00000000" w:rsidRPr="00000000">
              <w:rPr>
                <w:b w:val="1"/>
                <w:bCs w:val="1"/>
                <w:rtl w:val="0"/>
              </w:rPr>
              <w:t xml:space="preserve">El Insight (Conocimiento Profundo)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Interpretación: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Los focos de calor y los incendios registrados miden fenómenos distintos. Parte de los focos puede corresponder a quemas agrícolas u otros eventos que no se registran como incendio forestal. Usarlos como sustituto del daño daría conclusiones equivocadas.</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Impacto Potencial: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Si se ignora, el informe podría mezclar ambos indicadores y sacar conclusiones erróneas. Si se actúa, cada indicador se usa para lo que mide y se declara su límite.</w:t>
            </w:r>
          </w:p>
        </w:tc>
      </w:tr>
      <w:tr>
        <w:trPr>
          <w:cantSplit w:val="1"/>
          <w:trHeight w:val="420" w:hRule="atLeast"/>
          <w:tblHeader w:val="0"/>
        </w:trPr>
        <w:tc>
          <w:tcPr>
            <w:vMerge w:val="restart"/>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rPr>
                <w:b w:val="1"/>
                <w:bCs w:val="1"/>
              </w:rPr>
            </w:pPr>
            <w:r w:rsidDel="00000000" w:rsidR="00000000" w:rsidRPr="00000000">
              <w:rPr>
                <w:b w:val="1"/>
                <w:bCs w:val="1"/>
                <w:rtl w:val="0"/>
              </w:rPr>
              <w:t xml:space="preserve">Recomendaciones y Próximos Pasos (Accionabilidad)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Acción Propuesta: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Usar los focos de calor solo como señal complementaria de actividad, y no como medida de la superficie quemada. Documentar esta limitación en el informe.</w:t>
            </w:r>
          </w:p>
        </w:tc>
      </w:tr>
      <w:tr>
        <w:trPr>
          <w:cantSplit w:val="1"/>
          <w:trHeight w:val="420"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Prioridad: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Media</w:t>
            </w:r>
          </w:p>
        </w:tc>
      </w:tr>
      <w:tr>
        <w:trPr>
          <w:cantSplit w:val="1"/>
          <w:trHeight w:val="1031.8505859375" w:hRule="atLeast"/>
          <w:tblHeader w:val="0"/>
        </w:trPr>
        <w:tc>
          <w:tcPr>
            <w:vMerge w:val="continue"/>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pPr>
              <w:spacing w:line="240"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b w:val="1"/>
                <w:bCs w:val="1"/>
              </w:rPr>
            </w:pPr>
            <w:r w:rsidDel="00000000" w:rsidR="00000000" w:rsidRPr="00000000">
              <w:rPr>
                <w:b w:val="1"/>
                <w:bCs w:val="1"/>
                <w:rtl w:val="0"/>
              </w:rPr>
              <w:t xml:space="preserve">Sprint Futuro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pPr>
              <w:rPr/>
            </w:pPr>
            <w:r w:rsidDel="00000000" w:rsidR="00000000" w:rsidRPr="00000000">
              <w:rPr>
                <w:rtl w:val="0"/>
              </w:rPr>
              <w:t xml:space="preserve">Sí. Los datos de marzo de 2026 figuran en 0 en todo el país en el archivo mensual de focos de calor (parece dato faltante); excluirlos en la limpieza. Revisar también el valor atípico de Tierra del Fuego (93% de los focos en diciembre) antes de usarlo.</w:t>
            </w:r>
          </w:p>
        </w:tc>
      </w:tr>
    </w:tbl>
    <w:p w:rsidR="00000000" w:rsidDel="00000000" w:rsidP="00000000" w:rsidRDefault="00000000" w:rsidRPr="00000000" w14:paraId="00000027">
      <w:pPr>
        <w:spacing w:after="240" w:before="240" w:lineRule="auto"/>
        <w:ind w:right="600"/>
        <w:jc w:val="both"/>
        <w:rPr/>
      </w:pPr>
      <w:r w:rsidDel="00000000" w:rsidR="00000000" w:rsidRPr="00000000">
        <w:rPr>
          <w:rtl w:val="0"/>
        </w:rPr>
        <w:t xml:space="preserve">Cada equipo debe saber que un buen reporte de insight no solo dice "qué pasó", sino "por qué es importante".</w:t>
      </w:r>
    </w:p>
    <w:p w:rsidR="00000000" w:rsidDel="00000000" w:rsidP="00000000" w:rsidRDefault="00000000" w:rsidRPr="00000000" w14:paraId="0000002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