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发明专利申请书</w:t>
      </w:r>
    </w:p>
    <w:p>
      <w:pPr>
        <w:jc w:val="center"/>
      </w:pPr>
      <w:r>
        <w:rPr>
          <w:rFonts w:ascii="宋体" w:hAnsi="宋体" w:eastAsia="宋体"/>
          <w:sz w:val="24"/>
        </w:rPr>
        <w:t>西北工业大学风格精简合并稿（技术交底/代理人整理稿）</w:t>
      </w:r>
    </w:p>
    <w:p>
      <w:pPr>
        <w:spacing w:line="300" w:lineRule="auto" w:after="80"/>
        <w:ind w:firstLine="420"/>
        <w:jc w:val="center"/>
      </w:pPr>
      <w:r>
        <w:rPr>
          <w:rFonts w:ascii="宋体" w:hAnsi="宋体" w:eastAsia="宋体"/>
          <w:sz w:val="22"/>
        </w:rPr>
        <w:t>发明名称：一种面向民机适航认证的本体约束型知识图谱构建与证据锚定分析方法及系统</w:t>
      </w:r>
    </w:p>
    <w:p>
      <w:pPr>
        <w:spacing w:line="300" w:lineRule="auto" w:after="80"/>
        <w:ind w:firstLine="420"/>
        <w:jc w:val="center"/>
      </w:pPr>
      <w:r>
        <w:rPr>
          <w:rFonts w:ascii="宋体" w:hAnsi="宋体" w:eastAsia="宋体"/>
          <w:sz w:val="22"/>
        </w:rPr>
        <w:t>申请人：（建议填写：西北工业大学；以最终申请主体确认为准）</w:t>
      </w:r>
    </w:p>
    <w:p>
      <w:pPr>
        <w:spacing w:line="300" w:lineRule="auto" w:after="80"/>
        <w:ind w:firstLine="420"/>
        <w:jc w:val="center"/>
      </w:pPr>
      <w:r>
        <w:rPr>
          <w:rFonts w:ascii="宋体" w:hAnsi="宋体" w:eastAsia="宋体"/>
          <w:sz w:val="22"/>
        </w:rPr>
        <w:t>发明人：（待填写）</w:t>
      </w:r>
    </w:p>
    <w:p>
      <w:pPr>
        <w:spacing w:line="300" w:lineRule="auto" w:after="80"/>
        <w:ind w:firstLine="420"/>
        <w:jc w:val="center"/>
      </w:pPr>
      <w:r>
        <w:rPr>
          <w:rFonts w:ascii="宋体" w:hAnsi="宋体" w:eastAsia="宋体"/>
          <w:sz w:val="22"/>
        </w:rPr>
        <w:t>整理日期：2026年05月03日</w:t>
      </w:r>
    </w:p>
    <w:p>
      <w:r>
        <w:br w:type="page"/>
      </w:r>
    </w:p>
    <w:p>
      <w:pPr>
        <w:pStyle w:val="Heading1"/>
      </w:pPr>
      <w:r>
        <w:t>第一部分  发明专利请求书信息</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spacing w:after="0"/>
            </w:pPr>
            <w:r>
              <w:rPr>
                <w:rFonts w:ascii="宋体" w:hAnsi="宋体" w:eastAsia="宋体"/>
                <w:sz w:val="21"/>
              </w:rPr>
            </w:r>
            <w:r>
              <w:rPr>
                <w:rFonts w:ascii="宋体" w:hAnsi="宋体" w:eastAsia="宋体"/>
                <w:b/>
                <w:sz w:val="21"/>
              </w:rPr>
              <w:t>项目</w:t>
            </w:r>
          </w:p>
        </w:tc>
        <w:tc>
          <w:tcPr>
            <w:tcW w:type="dxa" w:w="4702"/>
            <w:vAlign w:val="center"/>
          </w:tcPr>
          <w:p>
            <w:pPr>
              <w:spacing w:after="0"/>
            </w:pPr>
            <w:r>
              <w:rPr>
                <w:rFonts w:ascii="宋体" w:hAnsi="宋体" w:eastAsia="宋体"/>
                <w:sz w:val="21"/>
              </w:rPr>
            </w:r>
            <w:r>
              <w:rPr>
                <w:rFonts w:ascii="宋体" w:hAnsi="宋体" w:eastAsia="宋体"/>
                <w:b/>
                <w:sz w:val="21"/>
              </w:rPr>
              <w:t>内容</w:t>
            </w:r>
          </w:p>
        </w:tc>
      </w:tr>
      <w:tr>
        <w:tc>
          <w:tcPr>
            <w:tcW w:type="dxa" w:w="4702"/>
            <w:vAlign w:val="center"/>
          </w:tcPr>
          <w:p>
            <w:pPr>
              <w:spacing w:after="0"/>
            </w:pPr>
            <w:r>
              <w:rPr>
                <w:rFonts w:ascii="宋体" w:hAnsi="宋体" w:eastAsia="宋体"/>
                <w:sz w:val="21"/>
              </w:rPr>
            </w:r>
            <w:r>
              <w:rPr>
                <w:rFonts w:ascii="宋体" w:hAnsi="宋体" w:eastAsia="宋体"/>
                <w:b w:val="0"/>
                <w:sz w:val="21"/>
              </w:rPr>
              <w:t>发明名称</w:t>
            </w:r>
          </w:p>
        </w:tc>
        <w:tc>
          <w:tcPr>
            <w:tcW w:type="dxa" w:w="4702"/>
            <w:vAlign w:val="center"/>
          </w:tcPr>
          <w:p>
            <w:pPr>
              <w:spacing w:after="0"/>
            </w:pPr>
            <w:r>
              <w:rPr>
                <w:rFonts w:ascii="宋体" w:hAnsi="宋体" w:eastAsia="宋体"/>
                <w:sz w:val="21"/>
              </w:rPr>
            </w:r>
            <w:r>
              <w:rPr>
                <w:rFonts w:ascii="宋体" w:hAnsi="宋体" w:eastAsia="宋体"/>
                <w:b w:val="0"/>
                <w:sz w:val="21"/>
              </w:rPr>
              <w:t>一种面向民机适航认证的本体约束型知识图谱构建与证据锚定分析方法及系统</w:t>
            </w:r>
          </w:p>
        </w:tc>
      </w:tr>
      <w:tr>
        <w:tc>
          <w:tcPr>
            <w:tcW w:type="dxa" w:w="4702"/>
            <w:vAlign w:val="center"/>
          </w:tcPr>
          <w:p>
            <w:pPr>
              <w:spacing w:after="0"/>
            </w:pPr>
            <w:r>
              <w:rPr>
                <w:rFonts w:ascii="宋体" w:hAnsi="宋体" w:eastAsia="宋体"/>
                <w:sz w:val="21"/>
              </w:rPr>
            </w:r>
            <w:r>
              <w:rPr>
                <w:rFonts w:ascii="宋体" w:hAnsi="宋体" w:eastAsia="宋体"/>
                <w:b w:val="0"/>
                <w:sz w:val="21"/>
              </w:rPr>
              <w:t>申请人</w:t>
            </w:r>
          </w:p>
        </w:tc>
        <w:tc>
          <w:tcPr>
            <w:tcW w:type="dxa" w:w="4702"/>
            <w:vAlign w:val="center"/>
          </w:tcPr>
          <w:p>
            <w:pPr>
              <w:spacing w:after="0"/>
            </w:pPr>
            <w:r>
              <w:rPr>
                <w:rFonts w:ascii="宋体" w:hAnsi="宋体" w:eastAsia="宋体"/>
                <w:sz w:val="21"/>
              </w:rPr>
            </w:r>
            <w:r>
              <w:rPr>
                <w:rFonts w:ascii="宋体" w:hAnsi="宋体" w:eastAsia="宋体"/>
                <w:b w:val="0"/>
                <w:sz w:val="21"/>
              </w:rPr>
              <w:t>（建议填写：西北工业大学；以最终确认信息为准）</w:t>
            </w:r>
          </w:p>
        </w:tc>
      </w:tr>
      <w:tr>
        <w:tc>
          <w:tcPr>
            <w:tcW w:type="dxa" w:w="4702"/>
            <w:vAlign w:val="center"/>
          </w:tcPr>
          <w:p>
            <w:pPr>
              <w:spacing w:after="0"/>
            </w:pPr>
            <w:r>
              <w:rPr>
                <w:rFonts w:ascii="宋体" w:hAnsi="宋体" w:eastAsia="宋体"/>
                <w:sz w:val="21"/>
              </w:rPr>
            </w:r>
            <w:r>
              <w:rPr>
                <w:rFonts w:ascii="宋体" w:hAnsi="宋体" w:eastAsia="宋体"/>
                <w:b w:val="0"/>
                <w:sz w:val="21"/>
              </w:rPr>
              <w:t>发明人</w:t>
            </w:r>
          </w:p>
        </w:tc>
        <w:tc>
          <w:tcPr>
            <w:tcW w:type="dxa" w:w="4702"/>
            <w:vAlign w:val="center"/>
          </w:tcPr>
          <w:p>
            <w:pPr>
              <w:spacing w:after="0"/>
            </w:pPr>
            <w:r>
              <w:rPr>
                <w:rFonts w:ascii="宋体" w:hAnsi="宋体" w:eastAsia="宋体"/>
                <w:sz w:val="21"/>
              </w:rPr>
            </w:r>
            <w:r>
              <w:rPr>
                <w:rFonts w:ascii="宋体" w:hAnsi="宋体" w:eastAsia="宋体"/>
                <w:b w:val="0"/>
                <w:sz w:val="21"/>
              </w:rPr>
              <w:t>（待填写）</w:t>
            </w:r>
          </w:p>
        </w:tc>
      </w:tr>
      <w:tr>
        <w:tc>
          <w:tcPr>
            <w:tcW w:type="dxa" w:w="4702"/>
            <w:vAlign w:val="center"/>
          </w:tcPr>
          <w:p>
            <w:pPr>
              <w:spacing w:after="0"/>
            </w:pPr>
            <w:r>
              <w:rPr>
                <w:rFonts w:ascii="宋体" w:hAnsi="宋体" w:eastAsia="宋体"/>
                <w:sz w:val="21"/>
              </w:rPr>
            </w:r>
            <w:r>
              <w:rPr>
                <w:rFonts w:ascii="宋体" w:hAnsi="宋体" w:eastAsia="宋体"/>
                <w:b w:val="0"/>
                <w:sz w:val="21"/>
              </w:rPr>
              <w:t>技术领域</w:t>
            </w:r>
          </w:p>
        </w:tc>
        <w:tc>
          <w:tcPr>
            <w:tcW w:type="dxa" w:w="4702"/>
            <w:vAlign w:val="center"/>
          </w:tcPr>
          <w:p>
            <w:pPr>
              <w:spacing w:after="0"/>
            </w:pPr>
            <w:r>
              <w:rPr>
                <w:rFonts w:ascii="宋体" w:hAnsi="宋体" w:eastAsia="宋体"/>
                <w:sz w:val="21"/>
              </w:rPr>
            </w:r>
            <w:r>
              <w:rPr>
                <w:rFonts w:ascii="宋体" w:hAnsi="宋体" w:eastAsia="宋体"/>
                <w:b w:val="0"/>
                <w:sz w:val="21"/>
              </w:rPr>
              <w:t>航空工程、适航认证、知识图谱、大语言模型、检索增强生成</w:t>
            </w:r>
          </w:p>
        </w:tc>
      </w:tr>
      <w:tr>
        <w:tc>
          <w:tcPr>
            <w:tcW w:type="dxa" w:w="4702"/>
            <w:vAlign w:val="center"/>
          </w:tcPr>
          <w:p>
            <w:pPr>
              <w:spacing w:after="0"/>
            </w:pPr>
            <w:r>
              <w:rPr>
                <w:rFonts w:ascii="宋体" w:hAnsi="宋体" w:eastAsia="宋体"/>
                <w:sz w:val="21"/>
              </w:rPr>
            </w:r>
            <w:r>
              <w:rPr>
                <w:rFonts w:ascii="宋体" w:hAnsi="宋体" w:eastAsia="宋体"/>
                <w:b w:val="0"/>
                <w:sz w:val="21"/>
              </w:rPr>
              <w:t>建议IPC</w:t>
            </w:r>
          </w:p>
        </w:tc>
        <w:tc>
          <w:tcPr>
            <w:tcW w:type="dxa" w:w="4702"/>
            <w:vAlign w:val="center"/>
          </w:tcPr>
          <w:p>
            <w:pPr>
              <w:spacing w:after="0"/>
            </w:pPr>
            <w:r>
              <w:rPr>
                <w:rFonts w:ascii="宋体" w:hAnsi="宋体" w:eastAsia="宋体"/>
                <w:sz w:val="21"/>
              </w:rPr>
            </w:r>
            <w:r>
              <w:rPr>
                <w:rFonts w:ascii="宋体" w:hAnsi="宋体" w:eastAsia="宋体"/>
                <w:b w:val="0"/>
                <w:sz w:val="21"/>
              </w:rPr>
              <w:t>G06F 16/36；G06F 16/332；G06F 40/30；G06N 5/04；B64F 5/00</w:t>
            </w:r>
          </w:p>
        </w:tc>
      </w:tr>
      <w:tr>
        <w:tc>
          <w:tcPr>
            <w:tcW w:type="dxa" w:w="4702"/>
            <w:vAlign w:val="center"/>
          </w:tcPr>
          <w:p>
            <w:pPr>
              <w:spacing w:after="0"/>
            </w:pPr>
            <w:r>
              <w:rPr>
                <w:rFonts w:ascii="宋体" w:hAnsi="宋体" w:eastAsia="宋体"/>
                <w:sz w:val="21"/>
              </w:rPr>
            </w:r>
            <w:r>
              <w:rPr>
                <w:rFonts w:ascii="宋体" w:hAnsi="宋体" w:eastAsia="宋体"/>
                <w:b w:val="0"/>
                <w:sz w:val="21"/>
              </w:rPr>
              <w:t>关键词</w:t>
            </w:r>
          </w:p>
        </w:tc>
        <w:tc>
          <w:tcPr>
            <w:tcW w:type="dxa" w:w="4702"/>
            <w:vAlign w:val="center"/>
          </w:tcPr>
          <w:p>
            <w:pPr>
              <w:spacing w:after="0"/>
            </w:pPr>
            <w:r>
              <w:rPr>
                <w:rFonts w:ascii="宋体" w:hAnsi="宋体" w:eastAsia="宋体"/>
                <w:sz w:val="21"/>
              </w:rPr>
            </w:r>
            <w:r>
              <w:rPr>
                <w:rFonts w:ascii="宋体" w:hAnsi="宋体" w:eastAsia="宋体"/>
                <w:b w:val="0"/>
                <w:sz w:val="21"/>
              </w:rPr>
              <w:t>适航认证；工业本体；知识图谱；标准注入；证据锚定；经验闭环</w:t>
            </w:r>
          </w:p>
        </w:tc>
      </w:tr>
    </w:tbl>
    <w:p/>
    <w:p>
      <w:pPr>
        <w:spacing w:line="300" w:lineRule="auto" w:after="80"/>
        <w:ind w:firstLine="420"/>
      </w:pPr>
      <w:r>
        <w:rPr>
          <w:rFonts w:ascii="宋体" w:hAnsi="宋体" w:eastAsia="宋体"/>
          <w:sz w:val="22"/>
        </w:rPr>
        <w:t>注：本稿为西北工业大学风格的技术交底与申请文件合并稿，申请人、发明人、代理机构、联系人、签章和日期须由申请主体最终确认。</w:t>
      </w:r>
    </w:p>
    <w:p>
      <w:r>
        <w:br w:type="page"/>
      </w:r>
    </w:p>
    <w:p>
      <w:pPr>
        <w:pStyle w:val="Heading1"/>
      </w:pPr>
      <w:r>
        <w:t>第二部分  权利要求书</w:t>
      </w:r>
    </w:p>
    <w:p>
      <w:pPr>
        <w:spacing w:line="300" w:lineRule="auto" w:after="80"/>
        <w:ind w:firstLine="420"/>
      </w:pPr>
      <w:r>
        <w:rPr>
          <w:rFonts w:ascii="宋体" w:hAnsi="宋体" w:eastAsia="宋体"/>
          <w:sz w:val="22"/>
        </w:rPr>
        <w:t>1. 一种面向民机适航认证的本体约束型知识图谱构建与证据锚定分析方法，其特征在于，包括：获取多格式民机适航资料；对所述资料进行统一解析和语义分块；依据BFO顶层、IOF核心层和航空领域层构建三层本体约束；从语义分块中抽取实体、关系、证据跨度和置信度；检索CAAC、FAA和EASA适航标准条款并注入抽取上下文；对抽取结果执行一致性校验；将通过校验的实体和关系写入知识图谱；根据用户查询执行混合检索、查询路由和证据锚定生成；并将分析结果提炼为可审核、可复用的经验条目。</w:t>
      </w:r>
    </w:p>
    <w:p>
      <w:pPr>
        <w:spacing w:line="300" w:lineRule="auto" w:after="80"/>
        <w:ind w:firstLine="420"/>
      </w:pPr>
      <w:r>
        <w:rPr>
          <w:rFonts w:ascii="宋体" w:hAnsi="宋体" w:eastAsia="宋体"/>
          <w:sz w:val="22"/>
        </w:rPr>
        <w:t>2. 根据权利要求1所述的方法，其特征在于，所述语义分块将文档片段标注为证据型、规则型、原因型、症状型和操作型五类，每一分块至少包括分块标识、来源文档、正文、类型、实体、条件和元数据。</w:t>
      </w:r>
    </w:p>
    <w:p>
      <w:pPr>
        <w:spacing w:line="300" w:lineRule="auto" w:after="80"/>
        <w:ind w:firstLine="420"/>
      </w:pPr>
      <w:r>
        <w:rPr>
          <w:rFonts w:ascii="宋体" w:hAnsi="宋体" w:eastAsia="宋体"/>
          <w:sz w:val="22"/>
        </w:rPr>
        <w:t>3. 根据权利要求1所述的方法，其特征在于，所述关系的关联强度由关系类型权重、证据距离权重、标准条款支持权重、图结构支持权重和模型置信度权重加权得到，并映射为赤、橙、黄、绿、青、蓝、紫七级色谱。</w:t>
      </w:r>
    </w:p>
    <w:p>
      <w:pPr>
        <w:spacing w:line="300" w:lineRule="auto" w:after="80"/>
        <w:ind w:firstLine="420"/>
      </w:pPr>
      <w:r>
        <w:rPr>
          <w:rFonts w:ascii="宋体" w:hAnsi="宋体" w:eastAsia="宋体"/>
          <w:sz w:val="22"/>
        </w:rPr>
        <w:t>4. 根据权利要求1所述的方法，其特征在于，所述适航标准条款检索采用BM25词项相关性、稠密向量余弦相似度、实体类型匹配和项目上下文匹配的融合评分。</w:t>
      </w:r>
    </w:p>
    <w:p>
      <w:pPr>
        <w:spacing w:line="300" w:lineRule="auto" w:after="80"/>
        <w:ind w:firstLine="420"/>
      </w:pPr>
      <w:r>
        <w:rPr>
          <w:rFonts w:ascii="宋体" w:hAnsi="宋体" w:eastAsia="宋体"/>
          <w:sz w:val="22"/>
        </w:rPr>
        <w:t>5. 根据权利要求1所述的方法，其特征在于，所述一致性校验包括JSON Schema校验、本体端点校验、标准引用校验、证据跨度校验、冲突检测和置信度阈值控制。</w:t>
      </w:r>
    </w:p>
    <w:p>
      <w:pPr>
        <w:spacing w:line="300" w:lineRule="auto" w:after="80"/>
        <w:ind w:firstLine="420"/>
      </w:pPr>
      <w:r>
        <w:rPr>
          <w:rFonts w:ascii="宋体" w:hAnsi="宋体" w:eastAsia="宋体"/>
          <w:sz w:val="22"/>
        </w:rPr>
        <w:t>6. 根据权利要求1所述的方法，其特征在于，所述混合检索包括BM25稀疏检索、稠密语义检索、加权线性融合、倒排融合RRF和启发式重排。</w:t>
      </w:r>
    </w:p>
    <w:p>
      <w:pPr>
        <w:spacing w:line="300" w:lineRule="auto" w:after="80"/>
        <w:ind w:firstLine="420"/>
      </w:pPr>
      <w:r>
        <w:rPr>
          <w:rFonts w:ascii="宋体" w:hAnsi="宋体" w:eastAsia="宋体"/>
          <w:sz w:val="22"/>
        </w:rPr>
        <w:t>7. 根据权利要求1所述的方法，其特征在于，所述查询路由根据查询复杂度、关键词和证据块数量，在基线检索路径、智能体多步检索路径和递归语言模型路径之间选择，并在目标路径不可用时降级至基线检索路径。</w:t>
      </w:r>
    </w:p>
    <w:p>
      <w:pPr>
        <w:spacing w:line="300" w:lineRule="auto" w:after="80"/>
        <w:ind w:firstLine="420"/>
      </w:pPr>
      <w:r>
        <w:rPr>
          <w:rFonts w:ascii="宋体" w:hAnsi="宋体" w:eastAsia="宋体"/>
          <w:sz w:val="22"/>
        </w:rPr>
        <w:t>8. 根据权利要求7所述的方法，其特征在于，所述递归语言模型路径将检索证据作为REPL环境变量，由大语言模型生成受限代码对证据进行分组、递归调用、聚合和审计。</w:t>
      </w:r>
    </w:p>
    <w:p>
      <w:pPr>
        <w:spacing w:line="300" w:lineRule="auto" w:after="80"/>
        <w:ind w:firstLine="420"/>
      </w:pPr>
      <w:r>
        <w:rPr>
          <w:rFonts w:ascii="宋体" w:hAnsi="宋体" w:eastAsia="宋体"/>
          <w:sz w:val="22"/>
        </w:rPr>
        <w:t>9. 根据权利要求1所述的方法，其特征在于，所述经验条目按照机型、类别、适用条件、证据来源、关联标准、置信度和审核状态进行存储，并在后续分析中按匹配条件注入。</w:t>
      </w:r>
    </w:p>
    <w:p>
      <w:pPr>
        <w:spacing w:line="300" w:lineRule="auto" w:after="80"/>
        <w:ind w:firstLine="420"/>
      </w:pPr>
      <w:r>
        <w:rPr>
          <w:rFonts w:ascii="宋体" w:hAnsi="宋体" w:eastAsia="宋体"/>
          <w:sz w:val="22"/>
        </w:rPr>
        <w:t>10. 一种面向民机适航认证的本体约束型知识图谱构建与证据锚定分析系统，其特征在于，包括文档解析模块、语义分块模块、本体知识图谱模块、标准条款注入模块、混合检索模块、查询路由模块、证据锚定生成模块、经验闭环模块、审计与权限模块以及图形用户界面模块，用于执行权利要求1至9任一项所述的方法。</w:t>
      </w:r>
    </w:p>
    <w:p>
      <w:pPr>
        <w:spacing w:line="300" w:lineRule="auto" w:after="80"/>
        <w:ind w:firstLine="420"/>
      </w:pPr>
      <w:r>
        <w:rPr>
          <w:rFonts w:ascii="宋体" w:hAnsi="宋体" w:eastAsia="宋体"/>
          <w:sz w:val="22"/>
        </w:rPr>
        <w:t>11. 一种电子设备，包括处理器和存储器，所述存储器中存储有程序，所述程序被处理器执行时实现权利要求1至9任一项所述的方法。</w:t>
      </w:r>
    </w:p>
    <w:p>
      <w:pPr>
        <w:spacing w:line="300" w:lineRule="auto" w:after="80"/>
        <w:ind w:firstLine="420"/>
      </w:pPr>
      <w:r>
        <w:rPr>
          <w:rFonts w:ascii="宋体" w:hAnsi="宋体" w:eastAsia="宋体"/>
          <w:sz w:val="22"/>
        </w:rPr>
        <w:t>12. 一种计算机可读存储介质，其上存储有程序，所述程序被处理器执行时实现权利要求1至9任一项所述的方法。</w:t>
      </w:r>
    </w:p>
    <w:p>
      <w:r>
        <w:br w:type="page"/>
      </w:r>
    </w:p>
    <w:p>
      <w:pPr>
        <w:pStyle w:val="Heading1"/>
      </w:pPr>
      <w:r>
        <w:t>第三部分  说明书</w:t>
      </w:r>
    </w:p>
    <w:p>
      <w:pPr>
        <w:pStyle w:val="Heading2"/>
      </w:pPr>
      <w:r>
        <w:t>一、发明名称</w:t>
      </w:r>
    </w:p>
    <w:p>
      <w:pPr>
        <w:spacing w:line="300" w:lineRule="auto" w:after="80"/>
        <w:ind w:firstLine="420"/>
      </w:pPr>
      <w:r>
        <w:rPr>
          <w:rFonts w:ascii="宋体" w:hAnsi="宋体" w:eastAsia="宋体"/>
          <w:sz w:val="22"/>
        </w:rPr>
        <w:t>一种面向民机适航认证的本体约束型知识图谱构建与证据锚定分析方法及系统</w:t>
      </w:r>
    </w:p>
    <w:p>
      <w:pPr>
        <w:pStyle w:val="Heading2"/>
      </w:pPr>
      <w:r>
        <w:t>二、技术领域</w:t>
      </w:r>
    </w:p>
    <w:p>
      <w:pPr>
        <w:spacing w:line="300" w:lineRule="auto" w:after="80"/>
        <w:ind w:firstLine="420"/>
      </w:pPr>
      <w:r>
        <w:rPr>
          <w:rFonts w:ascii="宋体" w:hAnsi="宋体" w:eastAsia="宋体"/>
          <w:sz w:val="22"/>
        </w:rPr>
        <w:t>本发明属于航空工程、人工智能、知识图谱和适航认证技术交叉领域，具体涉及一种面向民用航空器适航资料的本体约束型知识图谱构建、标准条款注入、混合检索生成、递归分析和经验闭环方法及系统。</w:t>
      </w:r>
    </w:p>
    <w:p>
      <w:pPr>
        <w:pStyle w:val="Heading2"/>
      </w:pPr>
      <w:r>
        <w:t>三、背景技术</w:t>
      </w:r>
    </w:p>
    <w:p>
      <w:pPr>
        <w:spacing w:line="300" w:lineRule="auto" w:after="80"/>
        <w:ind w:firstLine="420"/>
      </w:pPr>
      <w:r>
        <w:rPr>
          <w:rFonts w:ascii="宋体" w:hAnsi="宋体" w:eastAsia="宋体"/>
          <w:sz w:val="22"/>
        </w:rPr>
        <w:t>民机适航认证涉及需求、设计、软件、硬件、安全评估、维修保障、测试验证、审查记录和中美欧适航标准等多类资料。现有工程实践通常依赖DOORS、Polarion、Teamcenter、Excel台账和人工文档库进行管理，虽然能够保存文件和人工链接，但难以自动从非结构化资料中发现实体、关系、标准证据和跨文档追溯链。</w:t>
      </w:r>
    </w:p>
    <w:p>
      <w:pPr>
        <w:spacing w:line="300" w:lineRule="auto" w:after="80"/>
        <w:ind w:firstLine="420"/>
      </w:pPr>
      <w:r>
        <w:rPr>
          <w:rFonts w:ascii="宋体" w:hAnsi="宋体" w:eastAsia="宋体"/>
          <w:sz w:val="22"/>
        </w:rPr>
        <w:t>通用知识图谱技术缺少适航认证领域的实体端点约束，难以区分需求满足、失效导致、DAL分配、测试覆盖和标准符合等关系。通用RAG问答系统多采用固定单一路径检索，难以同时满足标准编号精确匹配、跨文档多轮证据补充、引用精度校验和安全关键结论回指来源的要求。直接使用大语言模型抽取知识还存在字段漂移、关系端点错误、证据缺失和不同角色结论冲突等风险。</w:t>
      </w:r>
    </w:p>
    <w:p>
      <w:pPr>
        <w:spacing w:line="300" w:lineRule="auto" w:after="80"/>
        <w:ind w:firstLine="420"/>
      </w:pPr>
      <w:r>
        <w:rPr>
          <w:rFonts w:ascii="宋体" w:hAnsi="宋体" w:eastAsia="宋体"/>
          <w:sz w:val="22"/>
        </w:rPr>
        <w:t>因此，亟需一种将适航本体、标准条款、证据跨度、混合检索、查询路由、输出校验和经验闭环结合起来的工程化方法，以支撑民机适航认证资料的可信构建、分析和复用。</w:t>
      </w:r>
    </w:p>
    <w:p>
      <w:pPr>
        <w:pStyle w:val="Heading2"/>
      </w:pPr>
      <w:r>
        <w:t>四、发明内容</w:t>
      </w:r>
    </w:p>
    <w:p>
      <w:pPr>
        <w:spacing w:line="300" w:lineRule="auto" w:after="80"/>
        <w:ind w:firstLine="420"/>
      </w:pPr>
      <w:r>
        <w:rPr>
          <w:rFonts w:ascii="宋体" w:hAnsi="宋体" w:eastAsia="宋体"/>
          <w:sz w:val="22"/>
        </w:rPr>
        <w:t>本发明的目的在于提供一种面向民机适航认证的本体约束型知识图谱构建与证据锚定分析方法及系统，使非结构化适航资料能够转换为带来源、带标准、带强度、带校验的工程知识对象，并支持安全评估、追溯分析、变更影响分析、跨文档综合分析和经验复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pPr>
            <w:r>
              <w:rPr>
                <w:rFonts w:ascii="宋体" w:hAnsi="宋体" w:eastAsia="宋体"/>
                <w:sz w:val="21"/>
              </w:rPr>
            </w:r>
            <w:r>
              <w:rPr>
                <w:rFonts w:ascii="宋体" w:hAnsi="宋体" w:eastAsia="宋体"/>
                <w:b/>
                <w:sz w:val="21"/>
              </w:rPr>
              <w:t>现有技术问题</w:t>
            </w:r>
          </w:p>
        </w:tc>
        <w:tc>
          <w:tcPr>
            <w:tcW w:type="dxa" w:w="3135"/>
            <w:vAlign w:val="center"/>
          </w:tcPr>
          <w:p>
            <w:pPr>
              <w:spacing w:after="0"/>
            </w:pPr>
            <w:r>
              <w:rPr>
                <w:rFonts w:ascii="宋体" w:hAnsi="宋体" w:eastAsia="宋体"/>
                <w:sz w:val="21"/>
              </w:rPr>
            </w:r>
            <w:r>
              <w:rPr>
                <w:rFonts w:ascii="宋体" w:hAnsi="宋体" w:eastAsia="宋体"/>
                <w:b/>
                <w:sz w:val="21"/>
              </w:rPr>
              <w:t>本发明技术方案</w:t>
            </w:r>
          </w:p>
        </w:tc>
        <w:tc>
          <w:tcPr>
            <w:tcW w:type="dxa" w:w="3135"/>
            <w:vAlign w:val="center"/>
          </w:tcPr>
          <w:p>
            <w:pPr>
              <w:spacing w:after="0"/>
            </w:pPr>
            <w:r>
              <w:rPr>
                <w:rFonts w:ascii="宋体" w:hAnsi="宋体" w:eastAsia="宋体"/>
                <w:sz w:val="21"/>
              </w:rPr>
            </w:r>
            <w:r>
              <w:rPr>
                <w:rFonts w:ascii="宋体" w:hAnsi="宋体" w:eastAsia="宋体"/>
                <w:b/>
                <w:sz w:val="21"/>
              </w:rPr>
              <w:t>技术效果</w:t>
            </w:r>
          </w:p>
        </w:tc>
      </w:tr>
      <w:tr>
        <w:tc>
          <w:tcPr>
            <w:tcW w:type="dxa" w:w="3135"/>
            <w:vAlign w:val="center"/>
          </w:tcPr>
          <w:p>
            <w:pPr>
              <w:spacing w:after="0"/>
            </w:pPr>
            <w:r>
              <w:rPr>
                <w:rFonts w:ascii="宋体" w:hAnsi="宋体" w:eastAsia="宋体"/>
                <w:sz w:val="21"/>
              </w:rPr>
            </w:r>
            <w:r>
              <w:rPr>
                <w:rFonts w:ascii="宋体" w:hAnsi="宋体" w:eastAsia="宋体"/>
                <w:b w:val="0"/>
                <w:sz w:val="21"/>
              </w:rPr>
              <w:t>人工维护追溯关系，易断链</w:t>
            </w:r>
          </w:p>
        </w:tc>
        <w:tc>
          <w:tcPr>
            <w:tcW w:type="dxa" w:w="3135"/>
            <w:vAlign w:val="center"/>
          </w:tcPr>
          <w:p>
            <w:pPr>
              <w:spacing w:after="0"/>
            </w:pPr>
            <w:r>
              <w:rPr>
                <w:rFonts w:ascii="宋体" w:hAnsi="宋体" w:eastAsia="宋体"/>
                <w:sz w:val="21"/>
              </w:rPr>
            </w:r>
            <w:r>
              <w:rPr>
                <w:rFonts w:ascii="宋体" w:hAnsi="宋体" w:eastAsia="宋体"/>
                <w:b w:val="0"/>
                <w:sz w:val="21"/>
              </w:rPr>
              <w:t>三层本体约束和图谱追溯检查</w:t>
            </w:r>
          </w:p>
        </w:tc>
        <w:tc>
          <w:tcPr>
            <w:tcW w:type="dxa" w:w="3135"/>
            <w:vAlign w:val="center"/>
          </w:tcPr>
          <w:p>
            <w:pPr>
              <w:spacing w:after="0"/>
            </w:pPr>
            <w:r>
              <w:rPr>
                <w:rFonts w:ascii="宋体" w:hAnsi="宋体" w:eastAsia="宋体"/>
                <w:sz w:val="21"/>
              </w:rPr>
            </w:r>
            <w:r>
              <w:rPr>
                <w:rFonts w:ascii="宋体" w:hAnsi="宋体" w:eastAsia="宋体"/>
                <w:b w:val="0"/>
                <w:sz w:val="21"/>
              </w:rPr>
              <w:t>自动发现断链、孤立需求和影响路径</w:t>
            </w:r>
          </w:p>
        </w:tc>
      </w:tr>
      <w:tr>
        <w:tc>
          <w:tcPr>
            <w:tcW w:type="dxa" w:w="3135"/>
            <w:vAlign w:val="center"/>
          </w:tcPr>
          <w:p>
            <w:pPr>
              <w:spacing w:after="0"/>
            </w:pPr>
            <w:r>
              <w:rPr>
                <w:rFonts w:ascii="宋体" w:hAnsi="宋体" w:eastAsia="宋体"/>
                <w:sz w:val="21"/>
              </w:rPr>
            </w:r>
            <w:r>
              <w:rPr>
                <w:rFonts w:ascii="宋体" w:hAnsi="宋体" w:eastAsia="宋体"/>
                <w:b w:val="0"/>
                <w:sz w:val="21"/>
              </w:rPr>
              <w:t>标准条款分散，人工检索</w:t>
            </w:r>
          </w:p>
        </w:tc>
        <w:tc>
          <w:tcPr>
            <w:tcW w:type="dxa" w:w="3135"/>
            <w:vAlign w:val="center"/>
          </w:tcPr>
          <w:p>
            <w:pPr>
              <w:spacing w:after="0"/>
            </w:pPr>
            <w:r>
              <w:rPr>
                <w:rFonts w:ascii="宋体" w:hAnsi="宋体" w:eastAsia="宋体"/>
                <w:sz w:val="21"/>
              </w:rPr>
            </w:r>
            <w:r>
              <w:rPr>
                <w:rFonts w:ascii="宋体" w:hAnsi="宋体" w:eastAsia="宋体"/>
                <w:b w:val="0"/>
                <w:sz w:val="21"/>
              </w:rPr>
              <w:t>CAAC/FAA/EASA标准库和条款注入</w:t>
            </w:r>
          </w:p>
        </w:tc>
        <w:tc>
          <w:tcPr>
            <w:tcW w:type="dxa" w:w="3135"/>
            <w:vAlign w:val="center"/>
          </w:tcPr>
          <w:p>
            <w:pPr>
              <w:spacing w:after="0"/>
            </w:pPr>
            <w:r>
              <w:rPr>
                <w:rFonts w:ascii="宋体" w:hAnsi="宋体" w:eastAsia="宋体"/>
                <w:sz w:val="21"/>
              </w:rPr>
            </w:r>
            <w:r>
              <w:rPr>
                <w:rFonts w:ascii="宋体" w:hAnsi="宋体" w:eastAsia="宋体"/>
                <w:b w:val="0"/>
                <w:sz w:val="21"/>
              </w:rPr>
              <w:t>分析结论与适航依据绑定</w:t>
            </w:r>
          </w:p>
        </w:tc>
      </w:tr>
      <w:tr>
        <w:tc>
          <w:tcPr>
            <w:tcW w:type="dxa" w:w="3135"/>
            <w:vAlign w:val="center"/>
          </w:tcPr>
          <w:p>
            <w:pPr>
              <w:spacing w:after="0"/>
            </w:pPr>
            <w:r>
              <w:rPr>
                <w:rFonts w:ascii="宋体" w:hAnsi="宋体" w:eastAsia="宋体"/>
                <w:sz w:val="21"/>
              </w:rPr>
            </w:r>
            <w:r>
              <w:rPr>
                <w:rFonts w:ascii="宋体" w:hAnsi="宋体" w:eastAsia="宋体"/>
                <w:b w:val="0"/>
                <w:sz w:val="21"/>
              </w:rPr>
              <w:t>通用RAG单路径检索</w:t>
            </w:r>
          </w:p>
        </w:tc>
        <w:tc>
          <w:tcPr>
            <w:tcW w:type="dxa" w:w="3135"/>
            <w:vAlign w:val="center"/>
          </w:tcPr>
          <w:p>
            <w:pPr>
              <w:spacing w:after="0"/>
            </w:pPr>
            <w:r>
              <w:rPr>
                <w:rFonts w:ascii="宋体" w:hAnsi="宋体" w:eastAsia="宋体"/>
                <w:sz w:val="21"/>
              </w:rPr>
            </w:r>
            <w:r>
              <w:rPr>
                <w:rFonts w:ascii="宋体" w:hAnsi="宋体" w:eastAsia="宋体"/>
                <w:b w:val="0"/>
                <w:sz w:val="21"/>
              </w:rPr>
              <w:t>BM25、Dense、RRF、重排和三路径路由</w:t>
            </w:r>
          </w:p>
        </w:tc>
        <w:tc>
          <w:tcPr>
            <w:tcW w:type="dxa" w:w="3135"/>
            <w:vAlign w:val="center"/>
          </w:tcPr>
          <w:p>
            <w:pPr>
              <w:spacing w:after="0"/>
            </w:pPr>
            <w:r>
              <w:rPr>
                <w:rFonts w:ascii="宋体" w:hAnsi="宋体" w:eastAsia="宋体"/>
                <w:sz w:val="21"/>
              </w:rPr>
            </w:r>
            <w:r>
              <w:rPr>
                <w:rFonts w:ascii="宋体" w:hAnsi="宋体" w:eastAsia="宋体"/>
                <w:b w:val="0"/>
                <w:sz w:val="21"/>
              </w:rPr>
              <w:t>兼顾精确匹配、语义召回和复杂推理</w:t>
            </w:r>
          </w:p>
        </w:tc>
      </w:tr>
      <w:tr>
        <w:tc>
          <w:tcPr>
            <w:tcW w:type="dxa" w:w="3135"/>
            <w:vAlign w:val="center"/>
          </w:tcPr>
          <w:p>
            <w:pPr>
              <w:spacing w:after="0"/>
            </w:pPr>
            <w:r>
              <w:rPr>
                <w:rFonts w:ascii="宋体" w:hAnsi="宋体" w:eastAsia="宋体"/>
                <w:sz w:val="21"/>
              </w:rPr>
            </w:r>
            <w:r>
              <w:rPr>
                <w:rFonts w:ascii="宋体" w:hAnsi="宋体" w:eastAsia="宋体"/>
                <w:b w:val="0"/>
                <w:sz w:val="21"/>
              </w:rPr>
              <w:t>LLM输出不可控</w:t>
            </w:r>
          </w:p>
        </w:tc>
        <w:tc>
          <w:tcPr>
            <w:tcW w:type="dxa" w:w="3135"/>
            <w:vAlign w:val="center"/>
          </w:tcPr>
          <w:p>
            <w:pPr>
              <w:spacing w:after="0"/>
            </w:pPr>
            <w:r>
              <w:rPr>
                <w:rFonts w:ascii="宋体" w:hAnsi="宋体" w:eastAsia="宋体"/>
                <w:sz w:val="21"/>
              </w:rPr>
            </w:r>
            <w:r>
              <w:rPr>
                <w:rFonts w:ascii="宋体" w:hAnsi="宋体" w:eastAsia="宋体"/>
                <w:b w:val="0"/>
                <w:sz w:val="21"/>
              </w:rPr>
              <w:t>六层一致性校验和候选池</w:t>
            </w:r>
          </w:p>
        </w:tc>
        <w:tc>
          <w:tcPr>
            <w:tcW w:type="dxa" w:w="3135"/>
            <w:vAlign w:val="center"/>
          </w:tcPr>
          <w:p>
            <w:pPr>
              <w:spacing w:after="0"/>
            </w:pPr>
            <w:r>
              <w:rPr>
                <w:rFonts w:ascii="宋体" w:hAnsi="宋体" w:eastAsia="宋体"/>
                <w:sz w:val="21"/>
              </w:rPr>
            </w:r>
            <w:r>
              <w:rPr>
                <w:rFonts w:ascii="宋体" w:hAnsi="宋体" w:eastAsia="宋体"/>
                <w:b w:val="0"/>
                <w:sz w:val="21"/>
              </w:rPr>
              <w:t>降低格式漂移和无证据结论风险</w:t>
            </w:r>
          </w:p>
        </w:tc>
      </w:tr>
      <w:tr>
        <w:tc>
          <w:tcPr>
            <w:tcW w:type="dxa" w:w="3135"/>
            <w:vAlign w:val="center"/>
          </w:tcPr>
          <w:p>
            <w:pPr>
              <w:spacing w:after="0"/>
            </w:pPr>
            <w:r>
              <w:rPr>
                <w:rFonts w:ascii="宋体" w:hAnsi="宋体" w:eastAsia="宋体"/>
                <w:sz w:val="21"/>
              </w:rPr>
            </w:r>
            <w:r>
              <w:rPr>
                <w:rFonts w:ascii="宋体" w:hAnsi="宋体" w:eastAsia="宋体"/>
                <w:b w:val="0"/>
                <w:sz w:val="21"/>
              </w:rPr>
              <w:t>经验靠人工传承</w:t>
            </w:r>
          </w:p>
        </w:tc>
        <w:tc>
          <w:tcPr>
            <w:tcW w:type="dxa" w:w="3135"/>
            <w:vAlign w:val="center"/>
          </w:tcPr>
          <w:p>
            <w:pPr>
              <w:spacing w:after="0"/>
            </w:pPr>
            <w:r>
              <w:rPr>
                <w:rFonts w:ascii="宋体" w:hAnsi="宋体" w:eastAsia="宋体"/>
                <w:sz w:val="21"/>
              </w:rPr>
            </w:r>
            <w:r>
              <w:rPr>
                <w:rFonts w:ascii="宋体" w:hAnsi="宋体" w:eastAsia="宋体"/>
                <w:b w:val="0"/>
                <w:sz w:val="21"/>
              </w:rPr>
              <w:t>机型化经验提炼、审核和注入</w:t>
            </w:r>
          </w:p>
        </w:tc>
        <w:tc>
          <w:tcPr>
            <w:tcW w:type="dxa" w:w="3135"/>
            <w:vAlign w:val="center"/>
          </w:tcPr>
          <w:p>
            <w:pPr>
              <w:spacing w:after="0"/>
            </w:pPr>
            <w:r>
              <w:rPr>
                <w:rFonts w:ascii="宋体" w:hAnsi="宋体" w:eastAsia="宋体"/>
                <w:sz w:val="21"/>
              </w:rPr>
            </w:r>
            <w:r>
              <w:rPr>
                <w:rFonts w:ascii="宋体" w:hAnsi="宋体" w:eastAsia="宋体"/>
                <w:b w:val="0"/>
                <w:sz w:val="21"/>
              </w:rPr>
              <w:t>实现经验沉淀和复用</w:t>
            </w:r>
          </w:p>
        </w:tc>
      </w:tr>
    </w:tbl>
    <w:p/>
    <w:p>
      <w:pPr>
        <w:spacing w:line="300" w:lineRule="auto" w:after="80"/>
        <w:ind w:firstLine="420"/>
      </w:pPr>
      <w:r>
        <w:rPr>
          <w:rFonts w:ascii="宋体" w:hAnsi="宋体" w:eastAsia="宋体"/>
          <w:sz w:val="22"/>
        </w:rPr>
        <w:t>本发明总体流程如图1所示，本体层级如图2所示，关联强度计算如图3所示，标准条款混合检索如图4所示，输出一致性校验如图5所示。</w:t>
      </w:r>
    </w:p>
    <w:p>
      <w:pPr>
        <w:pStyle w:val="Heading2"/>
      </w:pPr>
      <w:r>
        <w:t>五、附图说明</w:t>
      </w:r>
    </w:p>
    <w:p>
      <w:pPr>
        <w:spacing w:line="300" w:lineRule="auto" w:after="80"/>
        <w:ind w:firstLine="420"/>
      </w:pPr>
      <w:r>
        <w:rPr>
          <w:rFonts w:ascii="宋体" w:hAnsi="宋体" w:eastAsia="宋体"/>
          <w:sz w:val="22"/>
        </w:rPr>
        <w:t>图1为系统整体架构图，示出原始文档、文档解析、语义分块、本体约束、标准注入、知识图谱、检索生成、经验闭环与多端界面的总体关系。</w:t>
      </w:r>
    </w:p>
    <w:p>
      <w:pPr>
        <w:spacing w:line="300" w:lineRule="auto" w:after="80"/>
        <w:ind w:firstLine="420"/>
      </w:pPr>
      <w:r>
        <w:rPr>
          <w:rFonts w:ascii="宋体" w:hAnsi="宋体" w:eastAsia="宋体"/>
          <w:sz w:val="22"/>
        </w:rPr>
        <w:t>图2为BFO/IOF三层本体架构图，示出BFO顶层、IOF核心层和航空领域层之间的实体类型继承和约束关系。</w:t>
      </w:r>
    </w:p>
    <w:p>
      <w:pPr>
        <w:spacing w:line="300" w:lineRule="auto" w:after="80"/>
        <w:ind w:firstLine="420"/>
      </w:pPr>
      <w:r>
        <w:rPr>
          <w:rFonts w:ascii="宋体" w:hAnsi="宋体" w:eastAsia="宋体"/>
          <w:sz w:val="22"/>
        </w:rPr>
        <w:t>图3为多因子关联强度计算流程图，示出关系类型、证据距离、标准支持、图结构和模型置信度共同计算边强度的流程。</w:t>
      </w:r>
    </w:p>
    <w:p>
      <w:pPr>
        <w:spacing w:line="300" w:lineRule="auto" w:after="80"/>
        <w:ind w:firstLine="420"/>
      </w:pPr>
      <w:r>
        <w:rPr>
          <w:rFonts w:ascii="宋体" w:hAnsi="宋体" w:eastAsia="宋体"/>
          <w:sz w:val="22"/>
        </w:rPr>
        <w:t>图4为混合标准条款检索算法图，示出BM25、稠密相似度、类型匹配和项目上下文匹配的融合检索过程。</w:t>
      </w:r>
    </w:p>
    <w:p>
      <w:pPr>
        <w:spacing w:line="300" w:lineRule="auto" w:after="80"/>
        <w:ind w:firstLine="420"/>
      </w:pPr>
      <w:r>
        <w:rPr>
          <w:rFonts w:ascii="宋体" w:hAnsi="宋体" w:eastAsia="宋体"/>
          <w:sz w:val="22"/>
        </w:rPr>
        <w:t>图5为六层输出一致性校验流程图，示出JSON Schema、本体端点、标准引用、证据跨度、冲突检测和置信度阈值校验。</w:t>
      </w:r>
    </w:p>
    <w:p>
      <w:pPr>
        <w:spacing w:line="300" w:lineRule="auto" w:after="80"/>
        <w:ind w:firstLine="420"/>
      </w:pPr>
      <w:r>
        <w:rPr>
          <w:rFonts w:ascii="宋体" w:hAnsi="宋体" w:eastAsia="宋体"/>
          <w:sz w:val="22"/>
        </w:rPr>
        <w:t>图6为知识图谱可视化效果图，示出节点、边、关联强度色谱和图谱交互显示效果。</w:t>
      </w:r>
    </w:p>
    <w:p>
      <w:pPr>
        <w:spacing w:line="300" w:lineRule="auto" w:after="80"/>
        <w:ind w:firstLine="420"/>
      </w:pPr>
      <w:r>
        <w:rPr>
          <w:rFonts w:ascii="宋体" w:hAnsi="宋体" w:eastAsia="宋体"/>
          <w:sz w:val="22"/>
        </w:rPr>
        <w:t>图7为737 PACK OFF子图，示出737 PACK OFF故障相关的故障现象、原因、处置和证据关系。</w:t>
      </w:r>
    </w:p>
    <w:p>
      <w:pPr>
        <w:spacing w:line="300" w:lineRule="auto" w:after="80"/>
        <w:ind w:firstLine="420"/>
      </w:pPr>
      <w:r>
        <w:rPr>
          <w:rFonts w:ascii="宋体" w:hAnsi="宋体" w:eastAsia="宋体"/>
          <w:sz w:val="22"/>
        </w:rPr>
        <w:t>图8为故障树自动生成结果图，示出由知识图谱自动生成的故障树结构。</w:t>
      </w:r>
    </w:p>
    <w:p>
      <w:pPr>
        <w:spacing w:line="300" w:lineRule="auto" w:after="80"/>
        <w:ind w:firstLine="420"/>
      </w:pPr>
      <w:r>
        <w:rPr>
          <w:rFonts w:ascii="宋体" w:hAnsi="宋体" w:eastAsia="宋体"/>
          <w:sz w:val="22"/>
        </w:rPr>
        <w:t>图9为因果树自动生成结果图，示出由原因、故障、操作和证据形成的因果链条。</w:t>
      </w:r>
    </w:p>
    <w:p>
      <w:pPr>
        <w:spacing w:line="300" w:lineRule="auto" w:after="80"/>
        <w:ind w:firstLine="420"/>
      </w:pPr>
      <w:r>
        <w:rPr>
          <w:rFonts w:ascii="宋体" w:hAnsi="宋体" w:eastAsia="宋体"/>
          <w:sz w:val="22"/>
        </w:rPr>
        <w:t>图10为跨文档关联网络图，示出多个机型、标准和维修文档之间的跨文档知识关联。</w:t>
      </w:r>
    </w:p>
    <w:p>
      <w:pPr>
        <w:spacing w:line="300" w:lineRule="auto" w:after="80"/>
        <w:ind w:firstLine="420"/>
      </w:pPr>
      <w:r>
        <w:rPr>
          <w:rFonts w:ascii="宋体" w:hAnsi="宋体" w:eastAsia="宋体"/>
          <w:sz w:val="22"/>
        </w:rPr>
        <w:t>图11为检索性能对比柱状图，示出不同检索路径在召回率、排序和引用准确性方面的对比。</w:t>
      </w:r>
    </w:p>
    <w:p>
      <w:pPr>
        <w:spacing w:line="300" w:lineRule="auto" w:after="80"/>
        <w:ind w:firstLine="420"/>
      </w:pPr>
      <w:r>
        <w:rPr>
          <w:rFonts w:ascii="宋体" w:hAnsi="宋体" w:eastAsia="宋体"/>
          <w:sz w:val="22"/>
        </w:rPr>
        <w:t>图12为定量评估指标雷达图，示出Recall、MRR、Citation Precision和延迟等评测指标。</w:t>
      </w:r>
    </w:p>
    <w:p>
      <w:pPr>
        <w:spacing w:line="300" w:lineRule="auto" w:after="80"/>
        <w:ind w:firstLine="420"/>
      </w:pPr>
      <w:r>
        <w:rPr>
          <w:rFonts w:ascii="宋体" w:hAnsi="宋体" w:eastAsia="宋体"/>
          <w:sz w:val="22"/>
        </w:rPr>
        <w:t>图13为经验闭环流程图，示出分析、提炼、审核、存储和注入的经验闭环。</w:t>
      </w:r>
    </w:p>
    <w:p>
      <w:pPr>
        <w:spacing w:line="300" w:lineRule="auto" w:after="80"/>
        <w:ind w:firstLine="420"/>
      </w:pPr>
      <w:r>
        <w:rPr>
          <w:rFonts w:ascii="宋体" w:hAnsi="宋体" w:eastAsia="宋体"/>
          <w:sz w:val="22"/>
        </w:rPr>
        <w:t>图14为安全审计与权限管理架构图，示出来源标注、模型调用日志、权限控制和版本回滚机制。</w:t>
      </w:r>
    </w:p>
    <w:p>
      <w:pPr>
        <w:spacing w:line="300" w:lineRule="auto" w:after="80"/>
        <w:ind w:firstLine="420"/>
      </w:pPr>
      <w:r>
        <w:rPr>
          <w:rFonts w:ascii="宋体" w:hAnsi="宋体" w:eastAsia="宋体"/>
          <w:sz w:val="22"/>
        </w:rPr>
        <w:t>图15为GUI界面效果图，示出桌面端系统界面、文档管理、图谱浏览和问答交互。</w:t>
      </w:r>
    </w:p>
    <w:p>
      <w:pPr>
        <w:pStyle w:val="Heading2"/>
      </w:pPr>
      <w:r>
        <w:t>六、具体实施方式</w:t>
      </w:r>
    </w:p>
    <w:p>
      <w:pPr>
        <w:pStyle w:val="Heading3"/>
      </w:pPr>
      <w:r>
        <w:t>实施方式一：系统总体流程</w:t>
      </w:r>
    </w:p>
    <w:p>
      <w:pPr>
        <w:spacing w:line="300" w:lineRule="auto" w:after="80"/>
        <w:ind w:firstLine="420"/>
      </w:pPr>
      <w:r>
        <w:rPr>
          <w:rFonts w:ascii="宋体" w:hAnsi="宋体" w:eastAsia="宋体"/>
          <w:sz w:val="22"/>
        </w:rPr>
        <w:t>如图1所示，系统接收多格式适航资料，经解析器形成统一文本和元数据；语义分块器将文本划分为证据型、规则型、原因型、症状型和操作型chunk；知识抽取模块在BFO/IOF/航空领域三层本体约束下抽取实体和关系；标准条款注入模块将相关标准条款写入上下文；校验模块对抽取结果执行六层一致性校验；图谱模块将通过校验的对象写入知识图谱；检索生成模块根据查询路由执行baseline、agentic或rlm路径；经验模块将分析结果提炼、审核并注入后续分析。</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pPr>
            <w:r>
              <w:rPr>
                <w:rFonts w:ascii="宋体" w:hAnsi="宋体" w:eastAsia="宋体"/>
                <w:sz w:val="21"/>
              </w:rPr>
            </w:r>
            <w:r>
              <w:rPr>
                <w:rFonts w:ascii="宋体" w:hAnsi="宋体" w:eastAsia="宋体"/>
                <w:b/>
                <w:sz w:val="21"/>
              </w:rPr>
              <w:t>数据对象</w:t>
            </w:r>
          </w:p>
        </w:tc>
        <w:tc>
          <w:tcPr>
            <w:tcW w:type="dxa" w:w="3135"/>
            <w:vAlign w:val="center"/>
          </w:tcPr>
          <w:p>
            <w:pPr>
              <w:spacing w:after="0"/>
            </w:pPr>
            <w:r>
              <w:rPr>
                <w:rFonts w:ascii="宋体" w:hAnsi="宋体" w:eastAsia="宋体"/>
                <w:sz w:val="21"/>
              </w:rPr>
            </w:r>
            <w:r>
              <w:rPr>
                <w:rFonts w:ascii="宋体" w:hAnsi="宋体" w:eastAsia="宋体"/>
                <w:b/>
                <w:sz w:val="21"/>
              </w:rPr>
              <w:t>主要字段</w:t>
            </w:r>
          </w:p>
        </w:tc>
        <w:tc>
          <w:tcPr>
            <w:tcW w:type="dxa" w:w="3135"/>
            <w:vAlign w:val="center"/>
          </w:tcPr>
          <w:p>
            <w:pPr>
              <w:spacing w:after="0"/>
            </w:pPr>
            <w:r>
              <w:rPr>
                <w:rFonts w:ascii="宋体" w:hAnsi="宋体" w:eastAsia="宋体"/>
                <w:sz w:val="21"/>
              </w:rPr>
            </w:r>
            <w:r>
              <w:rPr>
                <w:rFonts w:ascii="宋体" w:hAnsi="宋体" w:eastAsia="宋体"/>
                <w:b/>
                <w:sz w:val="21"/>
              </w:rPr>
              <w:t>说明</w:t>
            </w:r>
          </w:p>
        </w:tc>
      </w:tr>
      <w:tr>
        <w:tc>
          <w:tcPr>
            <w:tcW w:type="dxa" w:w="3135"/>
            <w:vAlign w:val="center"/>
          </w:tcPr>
          <w:p>
            <w:pPr>
              <w:spacing w:after="0"/>
            </w:pPr>
            <w:r>
              <w:rPr>
                <w:rFonts w:ascii="宋体" w:hAnsi="宋体" w:eastAsia="宋体"/>
                <w:sz w:val="21"/>
              </w:rPr>
            </w:r>
            <w:r>
              <w:rPr>
                <w:rFonts w:ascii="宋体" w:hAnsi="宋体" w:eastAsia="宋体"/>
                <w:b w:val="0"/>
                <w:sz w:val="21"/>
              </w:rPr>
              <w:t>Chunk</w:t>
            </w:r>
          </w:p>
        </w:tc>
        <w:tc>
          <w:tcPr>
            <w:tcW w:type="dxa" w:w="3135"/>
            <w:vAlign w:val="center"/>
          </w:tcPr>
          <w:p>
            <w:pPr>
              <w:spacing w:after="0"/>
            </w:pPr>
            <w:r>
              <w:rPr>
                <w:rFonts w:ascii="宋体" w:hAnsi="宋体" w:eastAsia="宋体"/>
                <w:sz w:val="21"/>
              </w:rPr>
            </w:r>
            <w:r>
              <w:rPr>
                <w:rFonts w:ascii="宋体" w:hAnsi="宋体" w:eastAsia="宋体"/>
                <w:b w:val="0"/>
                <w:sz w:val="21"/>
              </w:rPr>
              <w:t>chunk_id、source、text、chunk_type、entities、conditions、metadata</w:t>
            </w:r>
          </w:p>
        </w:tc>
        <w:tc>
          <w:tcPr>
            <w:tcW w:type="dxa" w:w="3135"/>
            <w:vAlign w:val="center"/>
          </w:tcPr>
          <w:p>
            <w:pPr>
              <w:spacing w:after="0"/>
            </w:pPr>
            <w:r>
              <w:rPr>
                <w:rFonts w:ascii="宋体" w:hAnsi="宋体" w:eastAsia="宋体"/>
                <w:sz w:val="21"/>
              </w:rPr>
            </w:r>
            <w:r>
              <w:rPr>
                <w:rFonts w:ascii="宋体" w:hAnsi="宋体" w:eastAsia="宋体"/>
                <w:b w:val="0"/>
                <w:sz w:val="21"/>
              </w:rPr>
              <w:t>最小证据单元</w:t>
            </w:r>
          </w:p>
        </w:tc>
      </w:tr>
      <w:tr>
        <w:tc>
          <w:tcPr>
            <w:tcW w:type="dxa" w:w="3135"/>
            <w:vAlign w:val="center"/>
          </w:tcPr>
          <w:p>
            <w:pPr>
              <w:spacing w:after="0"/>
            </w:pPr>
            <w:r>
              <w:rPr>
                <w:rFonts w:ascii="宋体" w:hAnsi="宋体" w:eastAsia="宋体"/>
                <w:sz w:val="21"/>
              </w:rPr>
            </w:r>
            <w:r>
              <w:rPr>
                <w:rFonts w:ascii="宋体" w:hAnsi="宋体" w:eastAsia="宋体"/>
                <w:b w:val="0"/>
                <w:sz w:val="21"/>
              </w:rPr>
              <w:t>Entity</w:t>
            </w:r>
          </w:p>
        </w:tc>
        <w:tc>
          <w:tcPr>
            <w:tcW w:type="dxa" w:w="3135"/>
            <w:vAlign w:val="center"/>
          </w:tcPr>
          <w:p>
            <w:pPr>
              <w:spacing w:after="0"/>
            </w:pPr>
            <w:r>
              <w:rPr>
                <w:rFonts w:ascii="宋体" w:hAnsi="宋体" w:eastAsia="宋体"/>
                <w:sz w:val="21"/>
              </w:rPr>
            </w:r>
            <w:r>
              <w:rPr>
                <w:rFonts w:ascii="宋体" w:hAnsi="宋体" w:eastAsia="宋体"/>
                <w:b w:val="0"/>
                <w:sz w:val="21"/>
              </w:rPr>
              <w:t>entity_id、name、entity_type、ontology_layer、source_span、confidence</w:t>
            </w:r>
          </w:p>
        </w:tc>
        <w:tc>
          <w:tcPr>
            <w:tcW w:type="dxa" w:w="3135"/>
            <w:vAlign w:val="center"/>
          </w:tcPr>
          <w:p>
            <w:pPr>
              <w:spacing w:after="0"/>
            </w:pPr>
            <w:r>
              <w:rPr>
                <w:rFonts w:ascii="宋体" w:hAnsi="宋体" w:eastAsia="宋体"/>
                <w:sz w:val="21"/>
              </w:rPr>
            </w:r>
            <w:r>
              <w:rPr>
                <w:rFonts w:ascii="宋体" w:hAnsi="宋体" w:eastAsia="宋体"/>
                <w:b w:val="0"/>
                <w:sz w:val="21"/>
              </w:rPr>
              <w:t>图谱节点</w:t>
            </w:r>
          </w:p>
        </w:tc>
      </w:tr>
      <w:tr>
        <w:tc>
          <w:tcPr>
            <w:tcW w:type="dxa" w:w="3135"/>
            <w:vAlign w:val="center"/>
          </w:tcPr>
          <w:p>
            <w:pPr>
              <w:spacing w:after="0"/>
            </w:pPr>
            <w:r>
              <w:rPr>
                <w:rFonts w:ascii="宋体" w:hAnsi="宋体" w:eastAsia="宋体"/>
                <w:sz w:val="21"/>
              </w:rPr>
            </w:r>
            <w:r>
              <w:rPr>
                <w:rFonts w:ascii="宋体" w:hAnsi="宋体" w:eastAsia="宋体"/>
                <w:b w:val="0"/>
                <w:sz w:val="21"/>
              </w:rPr>
              <w:t>Relation</w:t>
            </w:r>
          </w:p>
        </w:tc>
        <w:tc>
          <w:tcPr>
            <w:tcW w:type="dxa" w:w="3135"/>
            <w:vAlign w:val="center"/>
          </w:tcPr>
          <w:p>
            <w:pPr>
              <w:spacing w:after="0"/>
            </w:pPr>
            <w:r>
              <w:rPr>
                <w:rFonts w:ascii="宋体" w:hAnsi="宋体" w:eastAsia="宋体"/>
                <w:sz w:val="21"/>
              </w:rPr>
            </w:r>
            <w:r>
              <w:rPr>
                <w:rFonts w:ascii="宋体" w:hAnsi="宋体" w:eastAsia="宋体"/>
                <w:b w:val="0"/>
                <w:sz w:val="21"/>
              </w:rPr>
              <w:t>head、tail、relation_type、strength、standard_refs、evidence_span</w:t>
            </w:r>
          </w:p>
        </w:tc>
        <w:tc>
          <w:tcPr>
            <w:tcW w:type="dxa" w:w="3135"/>
            <w:vAlign w:val="center"/>
          </w:tcPr>
          <w:p>
            <w:pPr>
              <w:spacing w:after="0"/>
            </w:pPr>
            <w:r>
              <w:rPr>
                <w:rFonts w:ascii="宋体" w:hAnsi="宋体" w:eastAsia="宋体"/>
                <w:sz w:val="21"/>
              </w:rPr>
            </w:r>
            <w:r>
              <w:rPr>
                <w:rFonts w:ascii="宋体" w:hAnsi="宋体" w:eastAsia="宋体"/>
                <w:b w:val="0"/>
                <w:sz w:val="21"/>
              </w:rPr>
              <w:t>图谱边</w:t>
            </w:r>
          </w:p>
        </w:tc>
      </w:tr>
      <w:tr>
        <w:tc>
          <w:tcPr>
            <w:tcW w:type="dxa" w:w="3135"/>
            <w:vAlign w:val="center"/>
          </w:tcPr>
          <w:p>
            <w:pPr>
              <w:spacing w:after="0"/>
            </w:pPr>
            <w:r>
              <w:rPr>
                <w:rFonts w:ascii="宋体" w:hAnsi="宋体" w:eastAsia="宋体"/>
                <w:sz w:val="21"/>
              </w:rPr>
            </w:r>
            <w:r>
              <w:rPr>
                <w:rFonts w:ascii="宋体" w:hAnsi="宋体" w:eastAsia="宋体"/>
                <w:b w:val="0"/>
                <w:sz w:val="21"/>
              </w:rPr>
              <w:t>Experience</w:t>
            </w:r>
          </w:p>
        </w:tc>
        <w:tc>
          <w:tcPr>
            <w:tcW w:type="dxa" w:w="3135"/>
            <w:vAlign w:val="center"/>
          </w:tcPr>
          <w:p>
            <w:pPr>
              <w:spacing w:after="0"/>
            </w:pPr>
            <w:r>
              <w:rPr>
                <w:rFonts w:ascii="宋体" w:hAnsi="宋体" w:eastAsia="宋体"/>
                <w:sz w:val="21"/>
              </w:rPr>
            </w:r>
            <w:r>
              <w:rPr>
                <w:rFonts w:ascii="宋体" w:hAnsi="宋体" w:eastAsia="宋体"/>
                <w:b w:val="0"/>
                <w:sz w:val="21"/>
              </w:rPr>
              <w:t>title、project、category、conditions、content、evidence、review_status</w:t>
            </w:r>
          </w:p>
        </w:tc>
        <w:tc>
          <w:tcPr>
            <w:tcW w:type="dxa" w:w="3135"/>
            <w:vAlign w:val="center"/>
          </w:tcPr>
          <w:p>
            <w:pPr>
              <w:spacing w:after="0"/>
            </w:pPr>
            <w:r>
              <w:rPr>
                <w:rFonts w:ascii="宋体" w:hAnsi="宋体" w:eastAsia="宋体"/>
                <w:sz w:val="21"/>
              </w:rPr>
            </w:r>
            <w:r>
              <w:rPr>
                <w:rFonts w:ascii="宋体" w:hAnsi="宋体" w:eastAsia="宋体"/>
                <w:b w:val="0"/>
                <w:sz w:val="21"/>
              </w:rPr>
              <w:t>可审核经验条目</w:t>
            </w:r>
          </w:p>
        </w:tc>
      </w:tr>
    </w:tbl>
    <w:p/>
    <w:p>
      <w:pPr>
        <w:pStyle w:val="Heading3"/>
      </w:pPr>
      <w:r>
        <w:t>实施方式二：航空维修故障文档端到端处理</w:t>
      </w:r>
    </w:p>
    <w:p>
      <w:pPr>
        <w:spacing w:line="300" w:lineRule="auto" w:after="80"/>
        <w:ind w:firstLine="420"/>
      </w:pPr>
      <w:r>
        <w:rPr>
          <w:rFonts w:ascii="宋体" w:hAnsi="宋体" w:eastAsia="宋体"/>
          <w:sz w:val="22"/>
        </w:rPr>
        <w:t>以737 PACK OFF故障说明文档为输入，系统解析PDF文本和页码，将故障现象标注为症状型chunk，将可能原因标注为原因型chunk，将机组或维修动作标注为操作型chunk，将手册限制标注为规则型chunk。系统抽取PACK OFF指示、空调组件、引气系统、温度控制、复位操作和MEL限制等实体，建立原因、缓解、操作和证据关系，生成如图7至图9所示的故障子图、故障树和因果树。用户查询故障原因和处置步骤时，系统融合BM25精确命中和Dense语义召回，输出带来源编号的证据锚定回答。</w:t>
      </w:r>
    </w:p>
    <w:p>
      <w:pPr>
        <w:pStyle w:val="Heading3"/>
      </w:pPr>
      <w:r>
        <w:t>实施方式三：适航认证资料的追溯、安全评估和MBSE建模</w:t>
      </w:r>
    </w:p>
    <w:p>
      <w:pPr>
        <w:spacing w:line="300" w:lineRule="auto" w:after="80"/>
        <w:ind w:firstLine="420"/>
      </w:pPr>
      <w:r>
        <w:rPr>
          <w:rFonts w:ascii="宋体" w:hAnsi="宋体" w:eastAsia="宋体"/>
          <w:sz w:val="22"/>
        </w:rPr>
        <w:t>以A320neo DO-178C追溯资料、B787 ECS FHA/PSSA资料、A350 EWIS ARP4754A资料和B777X飞控MBSE资料为组合输入，系统检索并注入DO-178C、ARP4761、ARP4754A和14 CFR 25.1309等条款，抽取需求、设计、软件组件、测试用例、失效状态、安全目标、DAL分配、接口约束和MBSE层级对象。系统形成需求追溯矩阵、FHA/PSSA/SSA安全评估表、EWIS生命周期图谱和MBSE跨层追溯图；当设计变更发生时，沿需求、接口、安全目标、物理组件和测试证据传播影响，输出五维影响清单。</w:t>
      </w:r>
    </w:p>
    <w:p>
      <w:pPr>
        <w:pStyle w:val="Heading3"/>
      </w:pPr>
      <w:r>
        <w:t>实施方式四：标准更新、跨文档综合分析与递归审计</w:t>
      </w:r>
    </w:p>
    <w:p>
      <w:pPr>
        <w:spacing w:line="300" w:lineRule="auto" w:after="80"/>
        <w:ind w:firstLine="420"/>
      </w:pPr>
      <w:r>
        <w:rPr>
          <w:rFonts w:ascii="宋体" w:hAnsi="宋体" w:eastAsia="宋体"/>
          <w:sz w:val="22"/>
        </w:rPr>
        <w:t>当标准库中某条CAAC、FAA或EASA条款发生版本变化时，系统标记standard_id、version和差异字段，并反向查询绑定该标准条款的DAL分配、安全目标、符合性结论、测试覆盖关系和经验条目，生成标准更新影响报告。对于跨文档综合查询，QueryRouter识别综合分析、所有文档、跨文档等触发词后进入RLM路径，将Top-K证据、来源映射和标准约束写入REPL环境变量，由模型生成受限代码进行分组、递归提炼和聚合，最终输出综合报告、证据清单、审计轨迹和降级日志。</w:t>
      </w:r>
    </w:p>
    <w:p>
      <w:pPr>
        <w:pStyle w:val="Heading2"/>
      </w:pPr>
      <w:r>
        <w:t>七、有益效果</w:t>
      </w:r>
    </w:p>
    <w:p>
      <w:pPr>
        <w:spacing w:line="300" w:lineRule="auto" w:after="80"/>
        <w:ind w:firstLine="420"/>
      </w:pPr>
      <w:r>
        <w:rPr>
          <w:rFonts w:ascii="宋体" w:hAnsi="宋体" w:eastAsia="宋体"/>
          <w:sz w:val="22"/>
        </w:rPr>
        <w:t>本发明将适航资料从孤立文档转换为带来源、带标准、带强度、带校验的图谱对象，提高了追溯分析、安全评估和变更影响分析的完整性。</w:t>
      </w:r>
    </w:p>
    <w:p>
      <w:pPr>
        <w:spacing w:line="300" w:lineRule="auto" w:after="80"/>
        <w:ind w:firstLine="420"/>
      </w:pPr>
      <w:r>
        <w:rPr>
          <w:rFonts w:ascii="宋体" w:hAnsi="宋体" w:eastAsia="宋体"/>
          <w:sz w:val="22"/>
        </w:rPr>
        <w:t>本发明通过混合检索和三路径路由，兼顾标准编号等精确术语匹配、语义召回、多步推理和跨文档递归分析。</w:t>
      </w:r>
    </w:p>
    <w:p>
      <w:pPr>
        <w:spacing w:line="300" w:lineRule="auto" w:after="80"/>
        <w:ind w:firstLine="420"/>
      </w:pPr>
      <w:r>
        <w:rPr>
          <w:rFonts w:ascii="宋体" w:hAnsi="宋体" w:eastAsia="宋体"/>
          <w:sz w:val="22"/>
        </w:rPr>
        <w:t>本发明通过六层一致性校验、候选池和人工复核机制，降低大语言模型在安全关键场景中的无证据输出和关系污染风险。</w:t>
      </w:r>
    </w:p>
    <w:p>
      <w:pPr>
        <w:spacing w:line="300" w:lineRule="auto" w:after="80"/>
        <w:ind w:firstLine="420"/>
      </w:pPr>
      <w:r>
        <w:rPr>
          <w:rFonts w:ascii="宋体" w:hAnsi="宋体" w:eastAsia="宋体"/>
          <w:sz w:val="22"/>
        </w:rPr>
        <w:t>本发明支持离线Ollama和vLLM-Ascend国产化部署，适合高校、航空企业和保密工程环境。</w:t>
      </w:r>
    </w:p>
    <w:p>
      <w:r>
        <w:br w:type="page"/>
      </w:r>
    </w:p>
    <w:p>
      <w:pPr>
        <w:pStyle w:val="Heading1"/>
      </w:pPr>
      <w:r>
        <w:t>第四部分  说明书附图</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pPr>
            <w:r>
              <w:rPr>
                <w:rFonts w:ascii="宋体" w:hAnsi="宋体" w:eastAsia="宋体"/>
                <w:sz w:val="21"/>
              </w:rPr>
            </w:r>
            <w:r>
              <w:rPr>
                <w:rFonts w:ascii="宋体" w:hAnsi="宋体" w:eastAsia="宋体"/>
                <w:b/>
                <w:sz w:val="21"/>
              </w:rPr>
              <w:t>编号</w:t>
            </w:r>
          </w:p>
        </w:tc>
        <w:tc>
          <w:tcPr>
            <w:tcW w:type="dxa" w:w="3135"/>
            <w:vAlign w:val="center"/>
          </w:tcPr>
          <w:p>
            <w:pPr>
              <w:spacing w:after="0"/>
            </w:pPr>
            <w:r>
              <w:rPr>
                <w:rFonts w:ascii="宋体" w:hAnsi="宋体" w:eastAsia="宋体"/>
                <w:sz w:val="21"/>
              </w:rPr>
            </w:r>
            <w:r>
              <w:rPr>
                <w:rFonts w:ascii="宋体" w:hAnsi="宋体" w:eastAsia="宋体"/>
                <w:b/>
                <w:sz w:val="21"/>
              </w:rPr>
              <w:t>附图名称</w:t>
            </w:r>
          </w:p>
        </w:tc>
        <w:tc>
          <w:tcPr>
            <w:tcW w:type="dxa" w:w="3135"/>
            <w:vAlign w:val="center"/>
          </w:tcPr>
          <w:p>
            <w:pPr>
              <w:spacing w:after="0"/>
            </w:pPr>
            <w:r>
              <w:rPr>
                <w:rFonts w:ascii="宋体" w:hAnsi="宋体" w:eastAsia="宋体"/>
                <w:sz w:val="21"/>
              </w:rPr>
            </w:r>
            <w:r>
              <w:rPr>
                <w:rFonts w:ascii="宋体" w:hAnsi="宋体" w:eastAsia="宋体"/>
                <w:b/>
                <w:sz w:val="21"/>
              </w:rPr>
              <w:t>对应保护点</w:t>
            </w:r>
          </w:p>
        </w:tc>
      </w:tr>
      <w:tr>
        <w:tc>
          <w:tcPr>
            <w:tcW w:type="dxa" w:w="3135"/>
            <w:vAlign w:val="center"/>
          </w:tcPr>
          <w:p>
            <w:pPr>
              <w:spacing w:after="0"/>
            </w:pPr>
            <w:r>
              <w:rPr>
                <w:rFonts w:ascii="宋体" w:hAnsi="宋体" w:eastAsia="宋体"/>
                <w:sz w:val="21"/>
              </w:rPr>
            </w:r>
            <w:r>
              <w:rPr>
                <w:rFonts w:ascii="宋体" w:hAnsi="宋体" w:eastAsia="宋体"/>
                <w:b w:val="0"/>
                <w:sz w:val="21"/>
              </w:rPr>
              <w:t>图1</w:t>
            </w:r>
          </w:p>
        </w:tc>
        <w:tc>
          <w:tcPr>
            <w:tcW w:type="dxa" w:w="3135"/>
            <w:vAlign w:val="center"/>
          </w:tcPr>
          <w:p>
            <w:pPr>
              <w:spacing w:after="0"/>
            </w:pPr>
            <w:r>
              <w:rPr>
                <w:rFonts w:ascii="宋体" w:hAnsi="宋体" w:eastAsia="宋体"/>
                <w:sz w:val="21"/>
              </w:rPr>
            </w:r>
            <w:r>
              <w:rPr>
                <w:rFonts w:ascii="宋体" w:hAnsi="宋体" w:eastAsia="宋体"/>
                <w:b w:val="0"/>
                <w:sz w:val="21"/>
              </w:rPr>
              <w:t>系统整体架构图</w:t>
            </w:r>
          </w:p>
        </w:tc>
        <w:tc>
          <w:tcPr>
            <w:tcW w:type="dxa" w:w="3135"/>
            <w:vAlign w:val="center"/>
          </w:tcPr>
          <w:p>
            <w:pPr>
              <w:spacing w:after="0"/>
            </w:pPr>
            <w:r>
              <w:rPr>
                <w:rFonts w:ascii="宋体" w:hAnsi="宋体" w:eastAsia="宋体"/>
                <w:sz w:val="21"/>
              </w:rPr>
            </w:r>
            <w:r>
              <w:rPr>
                <w:rFonts w:ascii="宋体" w:hAnsi="宋体" w:eastAsia="宋体"/>
                <w:b w:val="0"/>
                <w:sz w:val="21"/>
              </w:rPr>
              <w:t>示出原始文档、文档解析、语义分块、本体约束、标准注入、知识图谱、检索生成、经验闭环与多端界面的总体关系。</w:t>
            </w:r>
          </w:p>
        </w:tc>
      </w:tr>
      <w:tr>
        <w:tc>
          <w:tcPr>
            <w:tcW w:type="dxa" w:w="3135"/>
            <w:vAlign w:val="center"/>
          </w:tcPr>
          <w:p>
            <w:pPr>
              <w:spacing w:after="0"/>
            </w:pPr>
            <w:r>
              <w:rPr>
                <w:rFonts w:ascii="宋体" w:hAnsi="宋体" w:eastAsia="宋体"/>
                <w:sz w:val="21"/>
              </w:rPr>
            </w:r>
            <w:r>
              <w:rPr>
                <w:rFonts w:ascii="宋体" w:hAnsi="宋体" w:eastAsia="宋体"/>
                <w:b w:val="0"/>
                <w:sz w:val="21"/>
              </w:rPr>
              <w:t>图2</w:t>
            </w:r>
          </w:p>
        </w:tc>
        <w:tc>
          <w:tcPr>
            <w:tcW w:type="dxa" w:w="3135"/>
            <w:vAlign w:val="center"/>
          </w:tcPr>
          <w:p>
            <w:pPr>
              <w:spacing w:after="0"/>
            </w:pPr>
            <w:r>
              <w:rPr>
                <w:rFonts w:ascii="宋体" w:hAnsi="宋体" w:eastAsia="宋体"/>
                <w:sz w:val="21"/>
              </w:rPr>
            </w:r>
            <w:r>
              <w:rPr>
                <w:rFonts w:ascii="宋体" w:hAnsi="宋体" w:eastAsia="宋体"/>
                <w:b w:val="0"/>
                <w:sz w:val="21"/>
              </w:rPr>
              <w:t>BFO/IOF三层本体架构图</w:t>
            </w:r>
          </w:p>
        </w:tc>
        <w:tc>
          <w:tcPr>
            <w:tcW w:type="dxa" w:w="3135"/>
            <w:vAlign w:val="center"/>
          </w:tcPr>
          <w:p>
            <w:pPr>
              <w:spacing w:after="0"/>
            </w:pPr>
            <w:r>
              <w:rPr>
                <w:rFonts w:ascii="宋体" w:hAnsi="宋体" w:eastAsia="宋体"/>
                <w:sz w:val="21"/>
              </w:rPr>
            </w:r>
            <w:r>
              <w:rPr>
                <w:rFonts w:ascii="宋体" w:hAnsi="宋体" w:eastAsia="宋体"/>
                <w:b w:val="0"/>
                <w:sz w:val="21"/>
              </w:rPr>
              <w:t>示出BFO顶层、IOF核心层和航空领域层之间的实体类型继承和约束关系。</w:t>
            </w:r>
          </w:p>
        </w:tc>
      </w:tr>
      <w:tr>
        <w:tc>
          <w:tcPr>
            <w:tcW w:type="dxa" w:w="3135"/>
            <w:vAlign w:val="center"/>
          </w:tcPr>
          <w:p>
            <w:pPr>
              <w:spacing w:after="0"/>
            </w:pPr>
            <w:r>
              <w:rPr>
                <w:rFonts w:ascii="宋体" w:hAnsi="宋体" w:eastAsia="宋体"/>
                <w:sz w:val="21"/>
              </w:rPr>
            </w:r>
            <w:r>
              <w:rPr>
                <w:rFonts w:ascii="宋体" w:hAnsi="宋体" w:eastAsia="宋体"/>
                <w:b w:val="0"/>
                <w:sz w:val="21"/>
              </w:rPr>
              <w:t>图3</w:t>
            </w:r>
          </w:p>
        </w:tc>
        <w:tc>
          <w:tcPr>
            <w:tcW w:type="dxa" w:w="3135"/>
            <w:vAlign w:val="center"/>
          </w:tcPr>
          <w:p>
            <w:pPr>
              <w:spacing w:after="0"/>
            </w:pPr>
            <w:r>
              <w:rPr>
                <w:rFonts w:ascii="宋体" w:hAnsi="宋体" w:eastAsia="宋体"/>
                <w:sz w:val="21"/>
              </w:rPr>
            </w:r>
            <w:r>
              <w:rPr>
                <w:rFonts w:ascii="宋体" w:hAnsi="宋体" w:eastAsia="宋体"/>
                <w:b w:val="0"/>
                <w:sz w:val="21"/>
              </w:rPr>
              <w:t>多因子关联强度计算流程图</w:t>
            </w:r>
          </w:p>
        </w:tc>
        <w:tc>
          <w:tcPr>
            <w:tcW w:type="dxa" w:w="3135"/>
            <w:vAlign w:val="center"/>
          </w:tcPr>
          <w:p>
            <w:pPr>
              <w:spacing w:after="0"/>
            </w:pPr>
            <w:r>
              <w:rPr>
                <w:rFonts w:ascii="宋体" w:hAnsi="宋体" w:eastAsia="宋体"/>
                <w:sz w:val="21"/>
              </w:rPr>
            </w:r>
            <w:r>
              <w:rPr>
                <w:rFonts w:ascii="宋体" w:hAnsi="宋体" w:eastAsia="宋体"/>
                <w:b w:val="0"/>
                <w:sz w:val="21"/>
              </w:rPr>
              <w:t>示出关系类型、证据距离、标准支持、图结构和模型置信度共同计算边强度的流程。</w:t>
            </w:r>
          </w:p>
        </w:tc>
      </w:tr>
      <w:tr>
        <w:tc>
          <w:tcPr>
            <w:tcW w:type="dxa" w:w="3135"/>
            <w:vAlign w:val="center"/>
          </w:tcPr>
          <w:p>
            <w:pPr>
              <w:spacing w:after="0"/>
            </w:pPr>
            <w:r>
              <w:rPr>
                <w:rFonts w:ascii="宋体" w:hAnsi="宋体" w:eastAsia="宋体"/>
                <w:sz w:val="21"/>
              </w:rPr>
            </w:r>
            <w:r>
              <w:rPr>
                <w:rFonts w:ascii="宋体" w:hAnsi="宋体" w:eastAsia="宋体"/>
                <w:b w:val="0"/>
                <w:sz w:val="21"/>
              </w:rPr>
              <w:t>图4</w:t>
            </w:r>
          </w:p>
        </w:tc>
        <w:tc>
          <w:tcPr>
            <w:tcW w:type="dxa" w:w="3135"/>
            <w:vAlign w:val="center"/>
          </w:tcPr>
          <w:p>
            <w:pPr>
              <w:spacing w:after="0"/>
            </w:pPr>
            <w:r>
              <w:rPr>
                <w:rFonts w:ascii="宋体" w:hAnsi="宋体" w:eastAsia="宋体"/>
                <w:sz w:val="21"/>
              </w:rPr>
            </w:r>
            <w:r>
              <w:rPr>
                <w:rFonts w:ascii="宋体" w:hAnsi="宋体" w:eastAsia="宋体"/>
                <w:b w:val="0"/>
                <w:sz w:val="21"/>
              </w:rPr>
              <w:t>混合标准条款检索算法图</w:t>
            </w:r>
          </w:p>
        </w:tc>
        <w:tc>
          <w:tcPr>
            <w:tcW w:type="dxa" w:w="3135"/>
            <w:vAlign w:val="center"/>
          </w:tcPr>
          <w:p>
            <w:pPr>
              <w:spacing w:after="0"/>
            </w:pPr>
            <w:r>
              <w:rPr>
                <w:rFonts w:ascii="宋体" w:hAnsi="宋体" w:eastAsia="宋体"/>
                <w:sz w:val="21"/>
              </w:rPr>
            </w:r>
            <w:r>
              <w:rPr>
                <w:rFonts w:ascii="宋体" w:hAnsi="宋体" w:eastAsia="宋体"/>
                <w:b w:val="0"/>
                <w:sz w:val="21"/>
              </w:rPr>
              <w:t>示出BM25、稠密相似度、类型匹配和项目上下文匹配的融合检索过程。</w:t>
            </w:r>
          </w:p>
        </w:tc>
      </w:tr>
      <w:tr>
        <w:tc>
          <w:tcPr>
            <w:tcW w:type="dxa" w:w="3135"/>
            <w:vAlign w:val="center"/>
          </w:tcPr>
          <w:p>
            <w:pPr>
              <w:spacing w:after="0"/>
            </w:pPr>
            <w:r>
              <w:rPr>
                <w:rFonts w:ascii="宋体" w:hAnsi="宋体" w:eastAsia="宋体"/>
                <w:sz w:val="21"/>
              </w:rPr>
            </w:r>
            <w:r>
              <w:rPr>
                <w:rFonts w:ascii="宋体" w:hAnsi="宋体" w:eastAsia="宋体"/>
                <w:b w:val="0"/>
                <w:sz w:val="21"/>
              </w:rPr>
              <w:t>图5</w:t>
            </w:r>
          </w:p>
        </w:tc>
        <w:tc>
          <w:tcPr>
            <w:tcW w:type="dxa" w:w="3135"/>
            <w:vAlign w:val="center"/>
          </w:tcPr>
          <w:p>
            <w:pPr>
              <w:spacing w:after="0"/>
            </w:pPr>
            <w:r>
              <w:rPr>
                <w:rFonts w:ascii="宋体" w:hAnsi="宋体" w:eastAsia="宋体"/>
                <w:sz w:val="21"/>
              </w:rPr>
            </w:r>
            <w:r>
              <w:rPr>
                <w:rFonts w:ascii="宋体" w:hAnsi="宋体" w:eastAsia="宋体"/>
                <w:b w:val="0"/>
                <w:sz w:val="21"/>
              </w:rPr>
              <w:t>六层输出一致性校验流程图</w:t>
            </w:r>
          </w:p>
        </w:tc>
        <w:tc>
          <w:tcPr>
            <w:tcW w:type="dxa" w:w="3135"/>
            <w:vAlign w:val="center"/>
          </w:tcPr>
          <w:p>
            <w:pPr>
              <w:spacing w:after="0"/>
            </w:pPr>
            <w:r>
              <w:rPr>
                <w:rFonts w:ascii="宋体" w:hAnsi="宋体" w:eastAsia="宋体"/>
                <w:sz w:val="21"/>
              </w:rPr>
            </w:r>
            <w:r>
              <w:rPr>
                <w:rFonts w:ascii="宋体" w:hAnsi="宋体" w:eastAsia="宋体"/>
                <w:b w:val="0"/>
                <w:sz w:val="21"/>
              </w:rPr>
              <w:t>示出JSON Schema、本体端点、标准引用、证据跨度、冲突检测和置信度阈值校验。</w:t>
            </w:r>
          </w:p>
        </w:tc>
      </w:tr>
      <w:tr>
        <w:tc>
          <w:tcPr>
            <w:tcW w:type="dxa" w:w="3135"/>
            <w:vAlign w:val="center"/>
          </w:tcPr>
          <w:p>
            <w:pPr>
              <w:spacing w:after="0"/>
            </w:pPr>
            <w:r>
              <w:rPr>
                <w:rFonts w:ascii="宋体" w:hAnsi="宋体" w:eastAsia="宋体"/>
                <w:sz w:val="21"/>
              </w:rPr>
            </w:r>
            <w:r>
              <w:rPr>
                <w:rFonts w:ascii="宋体" w:hAnsi="宋体" w:eastAsia="宋体"/>
                <w:b w:val="0"/>
                <w:sz w:val="21"/>
              </w:rPr>
              <w:t>图6</w:t>
            </w:r>
          </w:p>
        </w:tc>
        <w:tc>
          <w:tcPr>
            <w:tcW w:type="dxa" w:w="3135"/>
            <w:vAlign w:val="center"/>
          </w:tcPr>
          <w:p>
            <w:pPr>
              <w:spacing w:after="0"/>
            </w:pPr>
            <w:r>
              <w:rPr>
                <w:rFonts w:ascii="宋体" w:hAnsi="宋体" w:eastAsia="宋体"/>
                <w:sz w:val="21"/>
              </w:rPr>
            </w:r>
            <w:r>
              <w:rPr>
                <w:rFonts w:ascii="宋体" w:hAnsi="宋体" w:eastAsia="宋体"/>
                <w:b w:val="0"/>
                <w:sz w:val="21"/>
              </w:rPr>
              <w:t>知识图谱可视化效果图</w:t>
            </w:r>
          </w:p>
        </w:tc>
        <w:tc>
          <w:tcPr>
            <w:tcW w:type="dxa" w:w="3135"/>
            <w:vAlign w:val="center"/>
          </w:tcPr>
          <w:p>
            <w:pPr>
              <w:spacing w:after="0"/>
            </w:pPr>
            <w:r>
              <w:rPr>
                <w:rFonts w:ascii="宋体" w:hAnsi="宋体" w:eastAsia="宋体"/>
                <w:sz w:val="21"/>
              </w:rPr>
            </w:r>
            <w:r>
              <w:rPr>
                <w:rFonts w:ascii="宋体" w:hAnsi="宋体" w:eastAsia="宋体"/>
                <w:b w:val="0"/>
                <w:sz w:val="21"/>
              </w:rPr>
              <w:t>示出节点、边、关联强度色谱和图谱交互显示效果。</w:t>
            </w:r>
          </w:p>
        </w:tc>
      </w:tr>
      <w:tr>
        <w:tc>
          <w:tcPr>
            <w:tcW w:type="dxa" w:w="3135"/>
            <w:vAlign w:val="center"/>
          </w:tcPr>
          <w:p>
            <w:pPr>
              <w:spacing w:after="0"/>
            </w:pPr>
            <w:r>
              <w:rPr>
                <w:rFonts w:ascii="宋体" w:hAnsi="宋体" w:eastAsia="宋体"/>
                <w:sz w:val="21"/>
              </w:rPr>
            </w:r>
            <w:r>
              <w:rPr>
                <w:rFonts w:ascii="宋体" w:hAnsi="宋体" w:eastAsia="宋体"/>
                <w:b w:val="0"/>
                <w:sz w:val="21"/>
              </w:rPr>
              <w:t>图7</w:t>
            </w:r>
          </w:p>
        </w:tc>
        <w:tc>
          <w:tcPr>
            <w:tcW w:type="dxa" w:w="3135"/>
            <w:vAlign w:val="center"/>
          </w:tcPr>
          <w:p>
            <w:pPr>
              <w:spacing w:after="0"/>
            </w:pPr>
            <w:r>
              <w:rPr>
                <w:rFonts w:ascii="宋体" w:hAnsi="宋体" w:eastAsia="宋体"/>
                <w:sz w:val="21"/>
              </w:rPr>
            </w:r>
            <w:r>
              <w:rPr>
                <w:rFonts w:ascii="宋体" w:hAnsi="宋体" w:eastAsia="宋体"/>
                <w:b w:val="0"/>
                <w:sz w:val="21"/>
              </w:rPr>
              <w:t>737 PACK OFF子图</w:t>
            </w:r>
          </w:p>
        </w:tc>
        <w:tc>
          <w:tcPr>
            <w:tcW w:type="dxa" w:w="3135"/>
            <w:vAlign w:val="center"/>
          </w:tcPr>
          <w:p>
            <w:pPr>
              <w:spacing w:after="0"/>
            </w:pPr>
            <w:r>
              <w:rPr>
                <w:rFonts w:ascii="宋体" w:hAnsi="宋体" w:eastAsia="宋体"/>
                <w:sz w:val="21"/>
              </w:rPr>
            </w:r>
            <w:r>
              <w:rPr>
                <w:rFonts w:ascii="宋体" w:hAnsi="宋体" w:eastAsia="宋体"/>
                <w:b w:val="0"/>
                <w:sz w:val="21"/>
              </w:rPr>
              <w:t>示出737 PACK OFF故障相关的故障现象、原因、处置和证据关系。</w:t>
            </w:r>
          </w:p>
        </w:tc>
      </w:tr>
      <w:tr>
        <w:tc>
          <w:tcPr>
            <w:tcW w:type="dxa" w:w="3135"/>
            <w:vAlign w:val="center"/>
          </w:tcPr>
          <w:p>
            <w:pPr>
              <w:spacing w:after="0"/>
            </w:pPr>
            <w:r>
              <w:rPr>
                <w:rFonts w:ascii="宋体" w:hAnsi="宋体" w:eastAsia="宋体"/>
                <w:sz w:val="21"/>
              </w:rPr>
            </w:r>
            <w:r>
              <w:rPr>
                <w:rFonts w:ascii="宋体" w:hAnsi="宋体" w:eastAsia="宋体"/>
                <w:b w:val="0"/>
                <w:sz w:val="21"/>
              </w:rPr>
              <w:t>图8</w:t>
            </w:r>
          </w:p>
        </w:tc>
        <w:tc>
          <w:tcPr>
            <w:tcW w:type="dxa" w:w="3135"/>
            <w:vAlign w:val="center"/>
          </w:tcPr>
          <w:p>
            <w:pPr>
              <w:spacing w:after="0"/>
            </w:pPr>
            <w:r>
              <w:rPr>
                <w:rFonts w:ascii="宋体" w:hAnsi="宋体" w:eastAsia="宋体"/>
                <w:sz w:val="21"/>
              </w:rPr>
            </w:r>
            <w:r>
              <w:rPr>
                <w:rFonts w:ascii="宋体" w:hAnsi="宋体" w:eastAsia="宋体"/>
                <w:b w:val="0"/>
                <w:sz w:val="21"/>
              </w:rPr>
              <w:t>故障树自动生成结果图</w:t>
            </w:r>
          </w:p>
        </w:tc>
        <w:tc>
          <w:tcPr>
            <w:tcW w:type="dxa" w:w="3135"/>
            <w:vAlign w:val="center"/>
          </w:tcPr>
          <w:p>
            <w:pPr>
              <w:spacing w:after="0"/>
            </w:pPr>
            <w:r>
              <w:rPr>
                <w:rFonts w:ascii="宋体" w:hAnsi="宋体" w:eastAsia="宋体"/>
                <w:sz w:val="21"/>
              </w:rPr>
            </w:r>
            <w:r>
              <w:rPr>
                <w:rFonts w:ascii="宋体" w:hAnsi="宋体" w:eastAsia="宋体"/>
                <w:b w:val="0"/>
                <w:sz w:val="21"/>
              </w:rPr>
              <w:t>示出由知识图谱自动生成的故障树结构。</w:t>
            </w:r>
          </w:p>
        </w:tc>
      </w:tr>
      <w:tr>
        <w:tc>
          <w:tcPr>
            <w:tcW w:type="dxa" w:w="3135"/>
            <w:vAlign w:val="center"/>
          </w:tcPr>
          <w:p>
            <w:pPr>
              <w:spacing w:after="0"/>
            </w:pPr>
            <w:r>
              <w:rPr>
                <w:rFonts w:ascii="宋体" w:hAnsi="宋体" w:eastAsia="宋体"/>
                <w:sz w:val="21"/>
              </w:rPr>
            </w:r>
            <w:r>
              <w:rPr>
                <w:rFonts w:ascii="宋体" w:hAnsi="宋体" w:eastAsia="宋体"/>
                <w:b w:val="0"/>
                <w:sz w:val="21"/>
              </w:rPr>
              <w:t>图9</w:t>
            </w:r>
          </w:p>
        </w:tc>
        <w:tc>
          <w:tcPr>
            <w:tcW w:type="dxa" w:w="3135"/>
            <w:vAlign w:val="center"/>
          </w:tcPr>
          <w:p>
            <w:pPr>
              <w:spacing w:after="0"/>
            </w:pPr>
            <w:r>
              <w:rPr>
                <w:rFonts w:ascii="宋体" w:hAnsi="宋体" w:eastAsia="宋体"/>
                <w:sz w:val="21"/>
              </w:rPr>
            </w:r>
            <w:r>
              <w:rPr>
                <w:rFonts w:ascii="宋体" w:hAnsi="宋体" w:eastAsia="宋体"/>
                <w:b w:val="0"/>
                <w:sz w:val="21"/>
              </w:rPr>
              <w:t>因果树自动生成结果图</w:t>
            </w:r>
          </w:p>
        </w:tc>
        <w:tc>
          <w:tcPr>
            <w:tcW w:type="dxa" w:w="3135"/>
            <w:vAlign w:val="center"/>
          </w:tcPr>
          <w:p>
            <w:pPr>
              <w:spacing w:after="0"/>
            </w:pPr>
            <w:r>
              <w:rPr>
                <w:rFonts w:ascii="宋体" w:hAnsi="宋体" w:eastAsia="宋体"/>
                <w:sz w:val="21"/>
              </w:rPr>
            </w:r>
            <w:r>
              <w:rPr>
                <w:rFonts w:ascii="宋体" w:hAnsi="宋体" w:eastAsia="宋体"/>
                <w:b w:val="0"/>
                <w:sz w:val="21"/>
              </w:rPr>
              <w:t>示出由原因、故障、操作和证据形成的因果链条。</w:t>
            </w:r>
          </w:p>
        </w:tc>
      </w:tr>
      <w:tr>
        <w:tc>
          <w:tcPr>
            <w:tcW w:type="dxa" w:w="3135"/>
            <w:vAlign w:val="center"/>
          </w:tcPr>
          <w:p>
            <w:pPr>
              <w:spacing w:after="0"/>
            </w:pPr>
            <w:r>
              <w:rPr>
                <w:rFonts w:ascii="宋体" w:hAnsi="宋体" w:eastAsia="宋体"/>
                <w:sz w:val="21"/>
              </w:rPr>
            </w:r>
            <w:r>
              <w:rPr>
                <w:rFonts w:ascii="宋体" w:hAnsi="宋体" w:eastAsia="宋体"/>
                <w:b w:val="0"/>
                <w:sz w:val="21"/>
              </w:rPr>
              <w:t>图10</w:t>
            </w:r>
          </w:p>
        </w:tc>
        <w:tc>
          <w:tcPr>
            <w:tcW w:type="dxa" w:w="3135"/>
            <w:vAlign w:val="center"/>
          </w:tcPr>
          <w:p>
            <w:pPr>
              <w:spacing w:after="0"/>
            </w:pPr>
            <w:r>
              <w:rPr>
                <w:rFonts w:ascii="宋体" w:hAnsi="宋体" w:eastAsia="宋体"/>
                <w:sz w:val="21"/>
              </w:rPr>
            </w:r>
            <w:r>
              <w:rPr>
                <w:rFonts w:ascii="宋体" w:hAnsi="宋体" w:eastAsia="宋体"/>
                <w:b w:val="0"/>
                <w:sz w:val="21"/>
              </w:rPr>
              <w:t>跨文档关联网络图</w:t>
            </w:r>
          </w:p>
        </w:tc>
        <w:tc>
          <w:tcPr>
            <w:tcW w:type="dxa" w:w="3135"/>
            <w:vAlign w:val="center"/>
          </w:tcPr>
          <w:p>
            <w:pPr>
              <w:spacing w:after="0"/>
            </w:pPr>
            <w:r>
              <w:rPr>
                <w:rFonts w:ascii="宋体" w:hAnsi="宋体" w:eastAsia="宋体"/>
                <w:sz w:val="21"/>
              </w:rPr>
            </w:r>
            <w:r>
              <w:rPr>
                <w:rFonts w:ascii="宋体" w:hAnsi="宋体" w:eastAsia="宋体"/>
                <w:b w:val="0"/>
                <w:sz w:val="21"/>
              </w:rPr>
              <w:t>示出多个机型、标准和维修文档之间的跨文档知识关联。</w:t>
            </w:r>
          </w:p>
        </w:tc>
      </w:tr>
      <w:tr>
        <w:tc>
          <w:tcPr>
            <w:tcW w:type="dxa" w:w="3135"/>
            <w:vAlign w:val="center"/>
          </w:tcPr>
          <w:p>
            <w:pPr>
              <w:spacing w:after="0"/>
            </w:pPr>
            <w:r>
              <w:rPr>
                <w:rFonts w:ascii="宋体" w:hAnsi="宋体" w:eastAsia="宋体"/>
                <w:sz w:val="21"/>
              </w:rPr>
            </w:r>
            <w:r>
              <w:rPr>
                <w:rFonts w:ascii="宋体" w:hAnsi="宋体" w:eastAsia="宋体"/>
                <w:b w:val="0"/>
                <w:sz w:val="21"/>
              </w:rPr>
              <w:t>图11</w:t>
            </w:r>
          </w:p>
        </w:tc>
        <w:tc>
          <w:tcPr>
            <w:tcW w:type="dxa" w:w="3135"/>
            <w:vAlign w:val="center"/>
          </w:tcPr>
          <w:p>
            <w:pPr>
              <w:spacing w:after="0"/>
            </w:pPr>
            <w:r>
              <w:rPr>
                <w:rFonts w:ascii="宋体" w:hAnsi="宋体" w:eastAsia="宋体"/>
                <w:sz w:val="21"/>
              </w:rPr>
            </w:r>
            <w:r>
              <w:rPr>
                <w:rFonts w:ascii="宋体" w:hAnsi="宋体" w:eastAsia="宋体"/>
                <w:b w:val="0"/>
                <w:sz w:val="21"/>
              </w:rPr>
              <w:t>检索性能对比柱状图</w:t>
            </w:r>
          </w:p>
        </w:tc>
        <w:tc>
          <w:tcPr>
            <w:tcW w:type="dxa" w:w="3135"/>
            <w:vAlign w:val="center"/>
          </w:tcPr>
          <w:p>
            <w:pPr>
              <w:spacing w:after="0"/>
            </w:pPr>
            <w:r>
              <w:rPr>
                <w:rFonts w:ascii="宋体" w:hAnsi="宋体" w:eastAsia="宋体"/>
                <w:sz w:val="21"/>
              </w:rPr>
            </w:r>
            <w:r>
              <w:rPr>
                <w:rFonts w:ascii="宋体" w:hAnsi="宋体" w:eastAsia="宋体"/>
                <w:b w:val="0"/>
                <w:sz w:val="21"/>
              </w:rPr>
              <w:t>示出不同检索路径在召回率、排序和引用准确性方面的对比。</w:t>
            </w:r>
          </w:p>
        </w:tc>
      </w:tr>
      <w:tr>
        <w:tc>
          <w:tcPr>
            <w:tcW w:type="dxa" w:w="3135"/>
            <w:vAlign w:val="center"/>
          </w:tcPr>
          <w:p>
            <w:pPr>
              <w:spacing w:after="0"/>
            </w:pPr>
            <w:r>
              <w:rPr>
                <w:rFonts w:ascii="宋体" w:hAnsi="宋体" w:eastAsia="宋体"/>
                <w:sz w:val="21"/>
              </w:rPr>
            </w:r>
            <w:r>
              <w:rPr>
                <w:rFonts w:ascii="宋体" w:hAnsi="宋体" w:eastAsia="宋体"/>
                <w:b w:val="0"/>
                <w:sz w:val="21"/>
              </w:rPr>
              <w:t>图12</w:t>
            </w:r>
          </w:p>
        </w:tc>
        <w:tc>
          <w:tcPr>
            <w:tcW w:type="dxa" w:w="3135"/>
            <w:vAlign w:val="center"/>
          </w:tcPr>
          <w:p>
            <w:pPr>
              <w:spacing w:after="0"/>
            </w:pPr>
            <w:r>
              <w:rPr>
                <w:rFonts w:ascii="宋体" w:hAnsi="宋体" w:eastAsia="宋体"/>
                <w:sz w:val="21"/>
              </w:rPr>
            </w:r>
            <w:r>
              <w:rPr>
                <w:rFonts w:ascii="宋体" w:hAnsi="宋体" w:eastAsia="宋体"/>
                <w:b w:val="0"/>
                <w:sz w:val="21"/>
              </w:rPr>
              <w:t>定量评估指标雷达图</w:t>
            </w:r>
          </w:p>
        </w:tc>
        <w:tc>
          <w:tcPr>
            <w:tcW w:type="dxa" w:w="3135"/>
            <w:vAlign w:val="center"/>
          </w:tcPr>
          <w:p>
            <w:pPr>
              <w:spacing w:after="0"/>
            </w:pPr>
            <w:r>
              <w:rPr>
                <w:rFonts w:ascii="宋体" w:hAnsi="宋体" w:eastAsia="宋体"/>
                <w:sz w:val="21"/>
              </w:rPr>
            </w:r>
            <w:r>
              <w:rPr>
                <w:rFonts w:ascii="宋体" w:hAnsi="宋体" w:eastAsia="宋体"/>
                <w:b w:val="0"/>
                <w:sz w:val="21"/>
              </w:rPr>
              <w:t>示出Recall、MRR、Citation Precision和延迟等评测指标。</w:t>
            </w:r>
          </w:p>
        </w:tc>
      </w:tr>
      <w:tr>
        <w:tc>
          <w:tcPr>
            <w:tcW w:type="dxa" w:w="3135"/>
            <w:vAlign w:val="center"/>
          </w:tcPr>
          <w:p>
            <w:pPr>
              <w:spacing w:after="0"/>
            </w:pPr>
            <w:r>
              <w:rPr>
                <w:rFonts w:ascii="宋体" w:hAnsi="宋体" w:eastAsia="宋体"/>
                <w:sz w:val="21"/>
              </w:rPr>
            </w:r>
            <w:r>
              <w:rPr>
                <w:rFonts w:ascii="宋体" w:hAnsi="宋体" w:eastAsia="宋体"/>
                <w:b w:val="0"/>
                <w:sz w:val="21"/>
              </w:rPr>
              <w:t>图13</w:t>
            </w:r>
          </w:p>
        </w:tc>
        <w:tc>
          <w:tcPr>
            <w:tcW w:type="dxa" w:w="3135"/>
            <w:vAlign w:val="center"/>
          </w:tcPr>
          <w:p>
            <w:pPr>
              <w:spacing w:after="0"/>
            </w:pPr>
            <w:r>
              <w:rPr>
                <w:rFonts w:ascii="宋体" w:hAnsi="宋体" w:eastAsia="宋体"/>
                <w:sz w:val="21"/>
              </w:rPr>
            </w:r>
            <w:r>
              <w:rPr>
                <w:rFonts w:ascii="宋体" w:hAnsi="宋体" w:eastAsia="宋体"/>
                <w:b w:val="0"/>
                <w:sz w:val="21"/>
              </w:rPr>
              <w:t>经验闭环流程图</w:t>
            </w:r>
          </w:p>
        </w:tc>
        <w:tc>
          <w:tcPr>
            <w:tcW w:type="dxa" w:w="3135"/>
            <w:vAlign w:val="center"/>
          </w:tcPr>
          <w:p>
            <w:pPr>
              <w:spacing w:after="0"/>
            </w:pPr>
            <w:r>
              <w:rPr>
                <w:rFonts w:ascii="宋体" w:hAnsi="宋体" w:eastAsia="宋体"/>
                <w:sz w:val="21"/>
              </w:rPr>
            </w:r>
            <w:r>
              <w:rPr>
                <w:rFonts w:ascii="宋体" w:hAnsi="宋体" w:eastAsia="宋体"/>
                <w:b w:val="0"/>
                <w:sz w:val="21"/>
              </w:rPr>
              <w:t>示出分析、提炼、审核、存储和注入的经验闭环。</w:t>
            </w:r>
          </w:p>
        </w:tc>
      </w:tr>
      <w:tr>
        <w:tc>
          <w:tcPr>
            <w:tcW w:type="dxa" w:w="3135"/>
            <w:vAlign w:val="center"/>
          </w:tcPr>
          <w:p>
            <w:pPr>
              <w:spacing w:after="0"/>
            </w:pPr>
            <w:r>
              <w:rPr>
                <w:rFonts w:ascii="宋体" w:hAnsi="宋体" w:eastAsia="宋体"/>
                <w:sz w:val="21"/>
              </w:rPr>
            </w:r>
            <w:r>
              <w:rPr>
                <w:rFonts w:ascii="宋体" w:hAnsi="宋体" w:eastAsia="宋体"/>
                <w:b w:val="0"/>
                <w:sz w:val="21"/>
              </w:rPr>
              <w:t>图14</w:t>
            </w:r>
          </w:p>
        </w:tc>
        <w:tc>
          <w:tcPr>
            <w:tcW w:type="dxa" w:w="3135"/>
            <w:vAlign w:val="center"/>
          </w:tcPr>
          <w:p>
            <w:pPr>
              <w:spacing w:after="0"/>
            </w:pPr>
            <w:r>
              <w:rPr>
                <w:rFonts w:ascii="宋体" w:hAnsi="宋体" w:eastAsia="宋体"/>
                <w:sz w:val="21"/>
              </w:rPr>
            </w:r>
            <w:r>
              <w:rPr>
                <w:rFonts w:ascii="宋体" w:hAnsi="宋体" w:eastAsia="宋体"/>
                <w:b w:val="0"/>
                <w:sz w:val="21"/>
              </w:rPr>
              <w:t>安全审计与权限管理架构图</w:t>
            </w:r>
          </w:p>
        </w:tc>
        <w:tc>
          <w:tcPr>
            <w:tcW w:type="dxa" w:w="3135"/>
            <w:vAlign w:val="center"/>
          </w:tcPr>
          <w:p>
            <w:pPr>
              <w:spacing w:after="0"/>
            </w:pPr>
            <w:r>
              <w:rPr>
                <w:rFonts w:ascii="宋体" w:hAnsi="宋体" w:eastAsia="宋体"/>
                <w:sz w:val="21"/>
              </w:rPr>
            </w:r>
            <w:r>
              <w:rPr>
                <w:rFonts w:ascii="宋体" w:hAnsi="宋体" w:eastAsia="宋体"/>
                <w:b w:val="0"/>
                <w:sz w:val="21"/>
              </w:rPr>
              <w:t>示出来源标注、模型调用日志、权限控制和版本回滚机制。</w:t>
            </w:r>
          </w:p>
        </w:tc>
      </w:tr>
      <w:tr>
        <w:tc>
          <w:tcPr>
            <w:tcW w:type="dxa" w:w="3135"/>
            <w:vAlign w:val="center"/>
          </w:tcPr>
          <w:p>
            <w:pPr>
              <w:spacing w:after="0"/>
            </w:pPr>
            <w:r>
              <w:rPr>
                <w:rFonts w:ascii="宋体" w:hAnsi="宋体" w:eastAsia="宋体"/>
                <w:sz w:val="21"/>
              </w:rPr>
            </w:r>
            <w:r>
              <w:rPr>
                <w:rFonts w:ascii="宋体" w:hAnsi="宋体" w:eastAsia="宋体"/>
                <w:b w:val="0"/>
                <w:sz w:val="21"/>
              </w:rPr>
              <w:t>图15</w:t>
            </w:r>
          </w:p>
        </w:tc>
        <w:tc>
          <w:tcPr>
            <w:tcW w:type="dxa" w:w="3135"/>
            <w:vAlign w:val="center"/>
          </w:tcPr>
          <w:p>
            <w:pPr>
              <w:spacing w:after="0"/>
            </w:pPr>
            <w:r>
              <w:rPr>
                <w:rFonts w:ascii="宋体" w:hAnsi="宋体" w:eastAsia="宋体"/>
                <w:sz w:val="21"/>
              </w:rPr>
            </w:r>
            <w:r>
              <w:rPr>
                <w:rFonts w:ascii="宋体" w:hAnsi="宋体" w:eastAsia="宋体"/>
                <w:b w:val="0"/>
                <w:sz w:val="21"/>
              </w:rPr>
              <w:t>GUI界面效果图</w:t>
            </w:r>
          </w:p>
        </w:tc>
        <w:tc>
          <w:tcPr>
            <w:tcW w:type="dxa" w:w="3135"/>
            <w:vAlign w:val="center"/>
          </w:tcPr>
          <w:p>
            <w:pPr>
              <w:spacing w:after="0"/>
            </w:pPr>
            <w:r>
              <w:rPr>
                <w:rFonts w:ascii="宋体" w:hAnsi="宋体" w:eastAsia="宋体"/>
                <w:sz w:val="21"/>
              </w:rPr>
            </w:r>
            <w:r>
              <w:rPr>
                <w:rFonts w:ascii="宋体" w:hAnsi="宋体" w:eastAsia="宋体"/>
                <w:b w:val="0"/>
                <w:sz w:val="21"/>
              </w:rPr>
              <w:t>示出桌面端系统界面、文档管理、图谱浏览和问答交互。</w:t>
            </w:r>
          </w:p>
        </w:tc>
      </w:tr>
    </w:tbl>
    <w:p/>
    <w:p>
      <w:pPr>
        <w:pStyle w:val="Heading2"/>
      </w:pPr>
      <w:r>
        <w:t>图1  系统整体架构图</w:t>
      </w:r>
    </w:p>
    <w:p>
      <w:pPr>
        <w:jc w:val="center"/>
      </w:pPr>
      <w:r>
        <w:drawing>
          <wp:inline xmlns:a="http://schemas.openxmlformats.org/drawingml/2006/main" xmlns:pic="http://schemas.openxmlformats.org/drawingml/2006/picture">
            <wp:extent cx="5472000" cy="4138252"/>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9"/>
                    <a:stretch>
                      <a:fillRect/>
                    </a:stretch>
                  </pic:blipFill>
                  <pic:spPr>
                    <a:xfrm>
                      <a:off x="0" y="0"/>
                      <a:ext cx="5472000" cy="4138252"/>
                    </a:xfrm>
                    <a:prstGeom prst="rect"/>
                  </pic:spPr>
                </pic:pic>
              </a:graphicData>
            </a:graphic>
          </wp:inline>
        </w:drawing>
      </w:r>
    </w:p>
    <w:p>
      <w:pPr>
        <w:jc w:val="center"/>
      </w:pPr>
      <w:r>
        <w:rPr>
          <w:rFonts w:ascii="宋体" w:hAnsi="宋体" w:eastAsia="宋体"/>
          <w:sz w:val="20"/>
        </w:rPr>
        <w:t>图1  系统整体架构图</w:t>
      </w:r>
    </w:p>
    <w:p>
      <w:pPr>
        <w:spacing w:line="300" w:lineRule="auto" w:after="80"/>
        <w:ind w:firstLine="420"/>
      </w:pPr>
      <w:r>
        <w:rPr>
          <w:rFonts w:ascii="宋体" w:hAnsi="宋体" w:eastAsia="宋体"/>
          <w:sz w:val="22"/>
        </w:rPr>
        <w:t>附图说明：示出原始文档、文档解析、语义分块、本体约束、标准注入、知识图谱、检索生成、经验闭环与多端界面的总体关系。</w:t>
      </w:r>
    </w:p>
    <w:p>
      <w:pPr>
        <w:pStyle w:val="Heading2"/>
      </w:pPr>
      <w:r>
        <w:t>图2  BFO/IOF三层本体架构图</w:t>
      </w:r>
    </w:p>
    <w:p>
      <w:pPr>
        <w:jc w:val="center"/>
      </w:pPr>
      <w:r>
        <w:drawing>
          <wp:inline xmlns:a="http://schemas.openxmlformats.org/drawingml/2006/main" xmlns:pic="http://schemas.openxmlformats.org/drawingml/2006/picture">
            <wp:extent cx="5472000" cy="4138252"/>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0"/>
                    <a:stretch>
                      <a:fillRect/>
                    </a:stretch>
                  </pic:blipFill>
                  <pic:spPr>
                    <a:xfrm>
                      <a:off x="0" y="0"/>
                      <a:ext cx="5472000" cy="4138252"/>
                    </a:xfrm>
                    <a:prstGeom prst="rect"/>
                  </pic:spPr>
                </pic:pic>
              </a:graphicData>
            </a:graphic>
          </wp:inline>
        </w:drawing>
      </w:r>
    </w:p>
    <w:p>
      <w:pPr>
        <w:jc w:val="center"/>
      </w:pPr>
      <w:r>
        <w:rPr>
          <w:rFonts w:ascii="宋体" w:hAnsi="宋体" w:eastAsia="宋体"/>
          <w:sz w:val="20"/>
        </w:rPr>
        <w:t>图2  BFO/IOF三层本体架构图</w:t>
      </w:r>
    </w:p>
    <w:p>
      <w:pPr>
        <w:spacing w:line="300" w:lineRule="auto" w:after="80"/>
        <w:ind w:firstLine="420"/>
      </w:pPr>
      <w:r>
        <w:rPr>
          <w:rFonts w:ascii="宋体" w:hAnsi="宋体" w:eastAsia="宋体"/>
          <w:sz w:val="22"/>
        </w:rPr>
        <w:t>附图说明：示出BFO顶层、IOF核心层和航空领域层之间的实体类型继承和约束关系。</w:t>
      </w:r>
    </w:p>
    <w:p>
      <w:pPr>
        <w:pStyle w:val="Heading2"/>
      </w:pPr>
      <w:r>
        <w:t>图3  多因子关联强度计算流程图</w:t>
      </w:r>
    </w:p>
    <w:p>
      <w:pPr>
        <w:jc w:val="center"/>
      </w:pPr>
      <w:r>
        <w:drawing>
          <wp:inline xmlns:a="http://schemas.openxmlformats.org/drawingml/2006/main" xmlns:pic="http://schemas.openxmlformats.org/drawingml/2006/picture">
            <wp:extent cx="5472000" cy="3926400"/>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1"/>
                    <a:stretch>
                      <a:fillRect/>
                    </a:stretch>
                  </pic:blipFill>
                  <pic:spPr>
                    <a:xfrm>
                      <a:off x="0" y="0"/>
                      <a:ext cx="5472000" cy="3926400"/>
                    </a:xfrm>
                    <a:prstGeom prst="rect"/>
                  </pic:spPr>
                </pic:pic>
              </a:graphicData>
            </a:graphic>
          </wp:inline>
        </w:drawing>
      </w:r>
    </w:p>
    <w:p>
      <w:pPr>
        <w:jc w:val="center"/>
      </w:pPr>
      <w:r>
        <w:rPr>
          <w:rFonts w:ascii="宋体" w:hAnsi="宋体" w:eastAsia="宋体"/>
          <w:sz w:val="20"/>
        </w:rPr>
        <w:t>图3  多因子关联强度计算流程图</w:t>
      </w:r>
    </w:p>
    <w:p>
      <w:pPr>
        <w:spacing w:line="300" w:lineRule="auto" w:after="80"/>
        <w:ind w:firstLine="420"/>
      </w:pPr>
      <w:r>
        <w:rPr>
          <w:rFonts w:ascii="宋体" w:hAnsi="宋体" w:eastAsia="宋体"/>
          <w:sz w:val="22"/>
        </w:rPr>
        <w:t>附图说明：示出关系类型、证据距离、标准支持、图结构和模型置信度共同计算边强度的流程。</w:t>
      </w:r>
    </w:p>
    <w:p>
      <w:pPr>
        <w:pStyle w:val="Heading2"/>
      </w:pPr>
      <w:r>
        <w:t>图4  混合标准条款检索算法图</w:t>
      </w:r>
    </w:p>
    <w:p>
      <w:pPr>
        <w:jc w:val="center"/>
      </w:pPr>
      <w:r>
        <w:drawing>
          <wp:inline xmlns:a="http://schemas.openxmlformats.org/drawingml/2006/main" xmlns:pic="http://schemas.openxmlformats.org/drawingml/2006/picture">
            <wp:extent cx="5472000" cy="3375638"/>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2"/>
                    <a:stretch>
                      <a:fillRect/>
                    </a:stretch>
                  </pic:blipFill>
                  <pic:spPr>
                    <a:xfrm>
                      <a:off x="0" y="0"/>
                      <a:ext cx="5472000" cy="3375638"/>
                    </a:xfrm>
                    <a:prstGeom prst="rect"/>
                  </pic:spPr>
                </pic:pic>
              </a:graphicData>
            </a:graphic>
          </wp:inline>
        </w:drawing>
      </w:r>
    </w:p>
    <w:p>
      <w:pPr>
        <w:jc w:val="center"/>
      </w:pPr>
      <w:r>
        <w:rPr>
          <w:rFonts w:ascii="宋体" w:hAnsi="宋体" w:eastAsia="宋体"/>
          <w:sz w:val="20"/>
        </w:rPr>
        <w:t>图4  混合标准条款检索算法图</w:t>
      </w:r>
    </w:p>
    <w:p>
      <w:pPr>
        <w:spacing w:line="300" w:lineRule="auto" w:after="80"/>
        <w:ind w:firstLine="420"/>
      </w:pPr>
      <w:r>
        <w:rPr>
          <w:rFonts w:ascii="宋体" w:hAnsi="宋体" w:eastAsia="宋体"/>
          <w:sz w:val="22"/>
        </w:rPr>
        <w:t>附图说明：示出BM25、稠密相似度、类型匹配和项目上下文匹配的融合检索过程。</w:t>
      </w:r>
    </w:p>
    <w:p>
      <w:pPr>
        <w:pStyle w:val="Heading2"/>
      </w:pPr>
      <w:r>
        <w:t>图5  六层输出一致性校验流程图</w:t>
      </w:r>
    </w:p>
    <w:p>
      <w:pPr>
        <w:jc w:val="center"/>
      </w:pPr>
      <w:r>
        <w:drawing>
          <wp:inline xmlns:a="http://schemas.openxmlformats.org/drawingml/2006/main" xmlns:pic="http://schemas.openxmlformats.org/drawingml/2006/picture">
            <wp:extent cx="5472000" cy="681418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3"/>
                    <a:stretch>
                      <a:fillRect/>
                    </a:stretch>
                  </pic:blipFill>
                  <pic:spPr>
                    <a:xfrm>
                      <a:off x="0" y="0"/>
                      <a:ext cx="5472000" cy="6814189"/>
                    </a:xfrm>
                    <a:prstGeom prst="rect"/>
                  </pic:spPr>
                </pic:pic>
              </a:graphicData>
            </a:graphic>
          </wp:inline>
        </w:drawing>
      </w:r>
    </w:p>
    <w:p>
      <w:pPr>
        <w:jc w:val="center"/>
      </w:pPr>
      <w:r>
        <w:rPr>
          <w:rFonts w:ascii="宋体" w:hAnsi="宋体" w:eastAsia="宋体"/>
          <w:sz w:val="20"/>
        </w:rPr>
        <w:t>图5  六层输出一致性校验流程图</w:t>
      </w:r>
    </w:p>
    <w:p>
      <w:pPr>
        <w:spacing w:line="300" w:lineRule="auto" w:after="80"/>
        <w:ind w:firstLine="420"/>
      </w:pPr>
      <w:r>
        <w:rPr>
          <w:rFonts w:ascii="宋体" w:hAnsi="宋体" w:eastAsia="宋体"/>
          <w:sz w:val="22"/>
        </w:rPr>
        <w:t>附图说明：示出JSON Schema、本体端点、标准引用、证据跨度、冲突检测和置信度阈值校验。</w:t>
      </w:r>
    </w:p>
    <w:p>
      <w:pPr>
        <w:pStyle w:val="Heading2"/>
      </w:pPr>
      <w:r>
        <w:t>图6  知识图谱可视化效果图</w:t>
      </w:r>
    </w:p>
    <w:p>
      <w:pPr>
        <w:jc w:val="center"/>
      </w:pPr>
      <w:r>
        <w:drawing>
          <wp:inline xmlns:a="http://schemas.openxmlformats.org/drawingml/2006/main" xmlns:pic="http://schemas.openxmlformats.org/drawingml/2006/picture">
            <wp:extent cx="5472000" cy="481535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4"/>
                    <a:stretch>
                      <a:fillRect/>
                    </a:stretch>
                  </pic:blipFill>
                  <pic:spPr>
                    <a:xfrm>
                      <a:off x="0" y="0"/>
                      <a:ext cx="5472000" cy="4815359"/>
                    </a:xfrm>
                    <a:prstGeom prst="rect"/>
                  </pic:spPr>
                </pic:pic>
              </a:graphicData>
            </a:graphic>
          </wp:inline>
        </w:drawing>
      </w:r>
    </w:p>
    <w:p>
      <w:pPr>
        <w:jc w:val="center"/>
      </w:pPr>
      <w:r>
        <w:rPr>
          <w:rFonts w:ascii="宋体" w:hAnsi="宋体" w:eastAsia="宋体"/>
          <w:sz w:val="20"/>
        </w:rPr>
        <w:t>图6  知识图谱可视化效果图</w:t>
      </w:r>
    </w:p>
    <w:p>
      <w:pPr>
        <w:spacing w:line="300" w:lineRule="auto" w:after="80"/>
        <w:ind w:firstLine="420"/>
      </w:pPr>
      <w:r>
        <w:rPr>
          <w:rFonts w:ascii="宋体" w:hAnsi="宋体" w:eastAsia="宋体"/>
          <w:sz w:val="22"/>
        </w:rPr>
        <w:t>附图说明：示出节点、边、关联强度色谱和图谱交互显示效果。</w:t>
      </w:r>
    </w:p>
    <w:p>
      <w:pPr>
        <w:pStyle w:val="Heading2"/>
      </w:pPr>
      <w:r>
        <w:t>图7  737 PACK OFF子图</w:t>
      </w:r>
    </w:p>
    <w:p>
      <w:pPr>
        <w:jc w:val="center"/>
      </w:pPr>
      <w:r>
        <w:drawing>
          <wp:inline xmlns:a="http://schemas.openxmlformats.org/drawingml/2006/main" xmlns:pic="http://schemas.openxmlformats.org/drawingml/2006/picture">
            <wp:extent cx="5472000" cy="3928320"/>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5"/>
                    <a:stretch>
                      <a:fillRect/>
                    </a:stretch>
                  </pic:blipFill>
                  <pic:spPr>
                    <a:xfrm>
                      <a:off x="0" y="0"/>
                      <a:ext cx="5472000" cy="3928320"/>
                    </a:xfrm>
                    <a:prstGeom prst="rect"/>
                  </pic:spPr>
                </pic:pic>
              </a:graphicData>
            </a:graphic>
          </wp:inline>
        </w:drawing>
      </w:r>
    </w:p>
    <w:p>
      <w:pPr>
        <w:jc w:val="center"/>
      </w:pPr>
      <w:r>
        <w:rPr>
          <w:rFonts w:ascii="宋体" w:hAnsi="宋体" w:eastAsia="宋体"/>
          <w:sz w:val="20"/>
        </w:rPr>
        <w:t>图7  737 PACK OFF子图</w:t>
      </w:r>
    </w:p>
    <w:p>
      <w:pPr>
        <w:spacing w:line="300" w:lineRule="auto" w:after="80"/>
        <w:ind w:firstLine="420"/>
      </w:pPr>
      <w:r>
        <w:rPr>
          <w:rFonts w:ascii="宋体" w:hAnsi="宋体" w:eastAsia="宋体"/>
          <w:sz w:val="22"/>
        </w:rPr>
        <w:t>附图说明：示出737 PACK OFF故障相关的故障现象、原因、处置和证据关系。</w:t>
      </w:r>
    </w:p>
    <w:p>
      <w:pPr>
        <w:pStyle w:val="Heading2"/>
      </w:pPr>
      <w:r>
        <w:t>图8  故障树自动生成结果图</w:t>
      </w:r>
    </w:p>
    <w:p>
      <w:pPr>
        <w:jc w:val="center"/>
      </w:pPr>
      <w:r>
        <w:drawing>
          <wp:inline xmlns:a="http://schemas.openxmlformats.org/drawingml/2006/main" xmlns:pic="http://schemas.openxmlformats.org/drawingml/2006/picture">
            <wp:extent cx="5472000" cy="4139902"/>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6"/>
                    <a:stretch>
                      <a:fillRect/>
                    </a:stretch>
                  </pic:blipFill>
                  <pic:spPr>
                    <a:xfrm>
                      <a:off x="0" y="0"/>
                      <a:ext cx="5472000" cy="4139902"/>
                    </a:xfrm>
                    <a:prstGeom prst="rect"/>
                  </pic:spPr>
                </pic:pic>
              </a:graphicData>
            </a:graphic>
          </wp:inline>
        </w:drawing>
      </w:r>
    </w:p>
    <w:p>
      <w:pPr>
        <w:jc w:val="center"/>
      </w:pPr>
      <w:r>
        <w:rPr>
          <w:rFonts w:ascii="宋体" w:hAnsi="宋体" w:eastAsia="宋体"/>
          <w:sz w:val="20"/>
        </w:rPr>
        <w:t>图8  故障树自动生成结果图</w:t>
      </w:r>
    </w:p>
    <w:p>
      <w:pPr>
        <w:spacing w:line="300" w:lineRule="auto" w:after="80"/>
        <w:ind w:firstLine="420"/>
      </w:pPr>
      <w:r>
        <w:rPr>
          <w:rFonts w:ascii="宋体" w:hAnsi="宋体" w:eastAsia="宋体"/>
          <w:sz w:val="22"/>
        </w:rPr>
        <w:t>附图说明：示出由知识图谱自动生成的故障树结构。</w:t>
      </w:r>
    </w:p>
    <w:p>
      <w:pPr>
        <w:pStyle w:val="Heading2"/>
      </w:pPr>
      <w:r>
        <w:t>图9  因果树自动生成结果图</w:t>
      </w:r>
    </w:p>
    <w:p>
      <w:pPr>
        <w:jc w:val="center"/>
      </w:pPr>
      <w:r>
        <w:drawing>
          <wp:inline xmlns:a="http://schemas.openxmlformats.org/drawingml/2006/main" xmlns:pic="http://schemas.openxmlformats.org/drawingml/2006/picture">
            <wp:extent cx="5472000" cy="223336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7"/>
                    <a:stretch>
                      <a:fillRect/>
                    </a:stretch>
                  </pic:blipFill>
                  <pic:spPr>
                    <a:xfrm>
                      <a:off x="0" y="0"/>
                      <a:ext cx="5472000" cy="2233368"/>
                    </a:xfrm>
                    <a:prstGeom prst="rect"/>
                  </pic:spPr>
                </pic:pic>
              </a:graphicData>
            </a:graphic>
          </wp:inline>
        </w:drawing>
      </w:r>
    </w:p>
    <w:p>
      <w:pPr>
        <w:jc w:val="center"/>
      </w:pPr>
      <w:r>
        <w:rPr>
          <w:rFonts w:ascii="宋体" w:hAnsi="宋体" w:eastAsia="宋体"/>
          <w:sz w:val="20"/>
        </w:rPr>
        <w:t>图9  因果树自动生成结果图</w:t>
      </w:r>
    </w:p>
    <w:p>
      <w:pPr>
        <w:spacing w:line="300" w:lineRule="auto" w:after="80"/>
        <w:ind w:firstLine="420"/>
      </w:pPr>
      <w:r>
        <w:rPr>
          <w:rFonts w:ascii="宋体" w:hAnsi="宋体" w:eastAsia="宋体"/>
          <w:sz w:val="22"/>
        </w:rPr>
        <w:t>附图说明：示出由原因、故障、操作和证据形成的因果链条。</w:t>
      </w:r>
    </w:p>
    <w:p>
      <w:pPr>
        <w:pStyle w:val="Heading2"/>
      </w:pPr>
      <w:r>
        <w:t>图10  跨文档关联网络图</w:t>
      </w:r>
    </w:p>
    <w:p>
      <w:pPr>
        <w:jc w:val="center"/>
      </w:pPr>
      <w:r>
        <w:drawing>
          <wp:inline xmlns:a="http://schemas.openxmlformats.org/drawingml/2006/main" xmlns:pic="http://schemas.openxmlformats.org/drawingml/2006/picture">
            <wp:extent cx="5472000" cy="4813440"/>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18"/>
                    <a:stretch>
                      <a:fillRect/>
                    </a:stretch>
                  </pic:blipFill>
                  <pic:spPr>
                    <a:xfrm>
                      <a:off x="0" y="0"/>
                      <a:ext cx="5472000" cy="4813440"/>
                    </a:xfrm>
                    <a:prstGeom prst="rect"/>
                  </pic:spPr>
                </pic:pic>
              </a:graphicData>
            </a:graphic>
          </wp:inline>
        </w:drawing>
      </w:r>
    </w:p>
    <w:p>
      <w:pPr>
        <w:jc w:val="center"/>
      </w:pPr>
      <w:r>
        <w:rPr>
          <w:rFonts w:ascii="宋体" w:hAnsi="宋体" w:eastAsia="宋体"/>
          <w:sz w:val="20"/>
        </w:rPr>
        <w:t>图10  跨文档关联网络图</w:t>
      </w:r>
    </w:p>
    <w:p>
      <w:pPr>
        <w:spacing w:line="300" w:lineRule="auto" w:after="80"/>
        <w:ind w:firstLine="420"/>
      </w:pPr>
      <w:r>
        <w:rPr>
          <w:rFonts w:ascii="宋体" w:hAnsi="宋体" w:eastAsia="宋体"/>
          <w:sz w:val="22"/>
        </w:rPr>
        <w:t>附图说明：示出多个机型、标准和维修文档之间的跨文档知识关联。</w:t>
      </w:r>
    </w:p>
    <w:p>
      <w:pPr>
        <w:pStyle w:val="Heading2"/>
      </w:pPr>
      <w:r>
        <w:t>图11  检索性能对比柱状图</w:t>
      </w:r>
    </w:p>
    <w:p>
      <w:pPr>
        <w:jc w:val="center"/>
      </w:pPr>
      <w:r>
        <w:drawing>
          <wp:inline xmlns:a="http://schemas.openxmlformats.org/drawingml/2006/main" xmlns:pic="http://schemas.openxmlformats.org/drawingml/2006/picture">
            <wp:extent cx="5472000" cy="4010213"/>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19"/>
                    <a:stretch>
                      <a:fillRect/>
                    </a:stretch>
                  </pic:blipFill>
                  <pic:spPr>
                    <a:xfrm>
                      <a:off x="0" y="0"/>
                      <a:ext cx="5472000" cy="4010213"/>
                    </a:xfrm>
                    <a:prstGeom prst="rect"/>
                  </pic:spPr>
                </pic:pic>
              </a:graphicData>
            </a:graphic>
          </wp:inline>
        </w:drawing>
      </w:r>
    </w:p>
    <w:p>
      <w:pPr>
        <w:jc w:val="center"/>
      </w:pPr>
      <w:r>
        <w:rPr>
          <w:rFonts w:ascii="宋体" w:hAnsi="宋体" w:eastAsia="宋体"/>
          <w:sz w:val="20"/>
        </w:rPr>
        <w:t>图11  检索性能对比柱状图</w:t>
      </w:r>
    </w:p>
    <w:p>
      <w:pPr>
        <w:spacing w:line="300" w:lineRule="auto" w:after="80"/>
        <w:ind w:firstLine="420"/>
      </w:pPr>
      <w:r>
        <w:rPr>
          <w:rFonts w:ascii="宋体" w:hAnsi="宋体" w:eastAsia="宋体"/>
          <w:sz w:val="22"/>
        </w:rPr>
        <w:t>附图说明：示出不同检索路径在召回率、排序和引用准确性方面的对比。</w:t>
      </w:r>
    </w:p>
    <w:p>
      <w:pPr>
        <w:pStyle w:val="Heading2"/>
      </w:pPr>
      <w:r>
        <w:t>图12  定量评估指标雷达图</w:t>
      </w:r>
    </w:p>
    <w:p>
      <w:pPr>
        <w:jc w:val="center"/>
      </w:pPr>
      <w:r>
        <w:drawing>
          <wp:inline xmlns:a="http://schemas.openxmlformats.org/drawingml/2006/main" xmlns:pic="http://schemas.openxmlformats.org/drawingml/2006/picture">
            <wp:extent cx="5472000" cy="472769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0"/>
                    <a:stretch>
                      <a:fillRect/>
                    </a:stretch>
                  </pic:blipFill>
                  <pic:spPr>
                    <a:xfrm>
                      <a:off x="0" y="0"/>
                      <a:ext cx="5472000" cy="4727698"/>
                    </a:xfrm>
                    <a:prstGeom prst="rect"/>
                  </pic:spPr>
                </pic:pic>
              </a:graphicData>
            </a:graphic>
          </wp:inline>
        </w:drawing>
      </w:r>
    </w:p>
    <w:p>
      <w:pPr>
        <w:jc w:val="center"/>
      </w:pPr>
      <w:r>
        <w:rPr>
          <w:rFonts w:ascii="宋体" w:hAnsi="宋体" w:eastAsia="宋体"/>
          <w:sz w:val="20"/>
        </w:rPr>
        <w:t>图12  定量评估指标雷达图</w:t>
      </w:r>
    </w:p>
    <w:p>
      <w:pPr>
        <w:spacing w:line="300" w:lineRule="auto" w:after="80"/>
        <w:ind w:firstLine="420"/>
      </w:pPr>
      <w:r>
        <w:rPr>
          <w:rFonts w:ascii="宋体" w:hAnsi="宋体" w:eastAsia="宋体"/>
          <w:sz w:val="22"/>
        </w:rPr>
        <w:t>附图说明：示出Recall、MRR、Citation Precision和延迟等评测指标。</w:t>
      </w:r>
    </w:p>
    <w:p>
      <w:pPr>
        <w:pStyle w:val="Heading2"/>
      </w:pPr>
      <w:r>
        <w:t>图13  经验闭环流程图</w:t>
      </w:r>
    </w:p>
    <w:p>
      <w:pPr>
        <w:jc w:val="center"/>
      </w:pPr>
      <w:r>
        <w:drawing>
          <wp:inline xmlns:a="http://schemas.openxmlformats.org/drawingml/2006/main" xmlns:pic="http://schemas.openxmlformats.org/drawingml/2006/picture">
            <wp:extent cx="5472000" cy="5520424"/>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1"/>
                    <a:stretch>
                      <a:fillRect/>
                    </a:stretch>
                  </pic:blipFill>
                  <pic:spPr>
                    <a:xfrm>
                      <a:off x="0" y="0"/>
                      <a:ext cx="5472000" cy="5520424"/>
                    </a:xfrm>
                    <a:prstGeom prst="rect"/>
                  </pic:spPr>
                </pic:pic>
              </a:graphicData>
            </a:graphic>
          </wp:inline>
        </w:drawing>
      </w:r>
    </w:p>
    <w:p>
      <w:pPr>
        <w:jc w:val="center"/>
      </w:pPr>
      <w:r>
        <w:rPr>
          <w:rFonts w:ascii="宋体" w:hAnsi="宋体" w:eastAsia="宋体"/>
          <w:sz w:val="20"/>
        </w:rPr>
        <w:t>图13  经验闭环流程图</w:t>
      </w:r>
    </w:p>
    <w:p>
      <w:pPr>
        <w:spacing w:line="300" w:lineRule="auto" w:after="80"/>
        <w:ind w:firstLine="420"/>
      </w:pPr>
      <w:r>
        <w:rPr>
          <w:rFonts w:ascii="宋体" w:hAnsi="宋体" w:eastAsia="宋体"/>
          <w:sz w:val="22"/>
        </w:rPr>
        <w:t>附图说明：示出分析、提炼、审核、存储和注入的经验闭环。</w:t>
      </w:r>
    </w:p>
    <w:p>
      <w:pPr>
        <w:pStyle w:val="Heading2"/>
      </w:pPr>
      <w:r>
        <w:t>图14  安全审计与权限管理架构图</w:t>
      </w:r>
    </w:p>
    <w:p>
      <w:pPr>
        <w:jc w:val="center"/>
      </w:pPr>
      <w:r>
        <w:drawing>
          <wp:inline xmlns:a="http://schemas.openxmlformats.org/drawingml/2006/main" xmlns:pic="http://schemas.openxmlformats.org/drawingml/2006/picture">
            <wp:extent cx="5472000" cy="375694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2"/>
                    <a:stretch>
                      <a:fillRect/>
                    </a:stretch>
                  </pic:blipFill>
                  <pic:spPr>
                    <a:xfrm>
                      <a:off x="0" y="0"/>
                      <a:ext cx="5472000" cy="3756945"/>
                    </a:xfrm>
                    <a:prstGeom prst="rect"/>
                  </pic:spPr>
                </pic:pic>
              </a:graphicData>
            </a:graphic>
          </wp:inline>
        </w:drawing>
      </w:r>
    </w:p>
    <w:p>
      <w:pPr>
        <w:jc w:val="center"/>
      </w:pPr>
      <w:r>
        <w:rPr>
          <w:rFonts w:ascii="宋体" w:hAnsi="宋体" w:eastAsia="宋体"/>
          <w:sz w:val="20"/>
        </w:rPr>
        <w:t>图14  安全审计与权限管理架构图</w:t>
      </w:r>
    </w:p>
    <w:p>
      <w:pPr>
        <w:spacing w:line="300" w:lineRule="auto" w:after="80"/>
        <w:ind w:firstLine="420"/>
      </w:pPr>
      <w:r>
        <w:rPr>
          <w:rFonts w:ascii="宋体" w:hAnsi="宋体" w:eastAsia="宋体"/>
          <w:sz w:val="22"/>
        </w:rPr>
        <w:t>附图说明：示出来源标注、模型调用日志、权限控制和版本回滚机制。</w:t>
      </w:r>
    </w:p>
    <w:p>
      <w:pPr>
        <w:pStyle w:val="Heading2"/>
      </w:pPr>
      <w:r>
        <w:t>图15  GUI界面效果图</w:t>
      </w:r>
    </w:p>
    <w:p>
      <w:pPr>
        <w:jc w:val="center"/>
      </w:pPr>
      <w:r>
        <w:drawing>
          <wp:inline xmlns:a="http://schemas.openxmlformats.org/drawingml/2006/main" xmlns:pic="http://schemas.openxmlformats.org/drawingml/2006/picture">
            <wp:extent cx="5472000" cy="3758595"/>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3"/>
                    <a:stretch>
                      <a:fillRect/>
                    </a:stretch>
                  </pic:blipFill>
                  <pic:spPr>
                    <a:xfrm>
                      <a:off x="0" y="0"/>
                      <a:ext cx="5472000" cy="3758595"/>
                    </a:xfrm>
                    <a:prstGeom prst="rect"/>
                  </pic:spPr>
                </pic:pic>
              </a:graphicData>
            </a:graphic>
          </wp:inline>
        </w:drawing>
      </w:r>
    </w:p>
    <w:p>
      <w:pPr>
        <w:jc w:val="center"/>
      </w:pPr>
      <w:r>
        <w:rPr>
          <w:rFonts w:ascii="宋体" w:hAnsi="宋体" w:eastAsia="宋体"/>
          <w:sz w:val="20"/>
        </w:rPr>
        <w:t>图15  GUI界面效果图</w:t>
      </w:r>
    </w:p>
    <w:p>
      <w:pPr>
        <w:spacing w:line="300" w:lineRule="auto" w:after="80"/>
        <w:ind w:firstLine="420"/>
      </w:pPr>
      <w:r>
        <w:rPr>
          <w:rFonts w:ascii="宋体" w:hAnsi="宋体" w:eastAsia="宋体"/>
          <w:sz w:val="22"/>
        </w:rPr>
        <w:t>附图说明：示出桌面端系统界面、文档管理、图谱浏览和问答交互。</w:t>
      </w:r>
    </w:p>
    <w:p>
      <w:r>
        <w:br w:type="page"/>
      </w:r>
    </w:p>
    <w:p>
      <w:pPr>
        <w:pStyle w:val="Heading1"/>
      </w:pPr>
      <w:r>
        <w:t>第五部分  说明书摘要</w:t>
      </w:r>
    </w:p>
    <w:p>
      <w:pPr>
        <w:spacing w:line="300" w:lineRule="auto" w:after="80"/>
        <w:ind w:firstLine="420"/>
      </w:pPr>
      <w:r>
        <w:rPr>
          <w:rFonts w:ascii="宋体" w:hAnsi="宋体" w:eastAsia="宋体"/>
          <w:sz w:val="22"/>
        </w:rPr>
        <w:t>本发明公开了一种面向民机适航认证的本体约束型知识图谱构建与证据锚定分析方法及系统。该方法对多格式适航资料进行统一解析和语义分块，依据BFO顶层、IOF核心层和航空领域层构建三层本体约束，从文档中抽取实体、关系、证据跨度和置信度；检索CAAC、FAA和EASA适航标准条款并注入知识抽取和生成上下文；通过多因子关联强度计算和七级色谱表达关系强弱；采用JSON Schema、本体端点、标准引用、证据跨度、冲突检测和置信度阈值六层校验保证输出可靠；通过BM25、稠密检索、RRF融合、重排和三路径查询路由实现证据锚定生成；并通过经验提炼、审核、存储和注入形成工程经验闭环。本发明适用于民机适航认证、安全评估、需求追溯、维修故障分析、标准更新影响分析和跨文档综合审计。</w:t>
      </w:r>
    </w:p>
    <w:p>
      <w:pPr>
        <w:spacing w:line="300" w:lineRule="auto" w:after="80"/>
        <w:ind w:firstLine="420"/>
      </w:pPr>
      <w:r>
        <w:rPr>
          <w:rFonts w:ascii="宋体" w:hAnsi="宋体" w:eastAsia="宋体"/>
          <w:sz w:val="22"/>
        </w:rPr>
        <w:t>摘要附图：图1。</w:t>
      </w:r>
    </w:p>
    <w:sectPr w:rsidR="00FC693F" w:rsidRPr="0006063C" w:rsidSect="00034616">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