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t>本发明公开了一种面向民机适航认证的本体约束型知识图谱构建与证据锚定分析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可扩展运行。</w:t>
      </w:r>
    </w:p>
    <w:p>
      <w:pPr>
        <w:spacing w:line="300" w:lineRule="auto" w:after="80"/>
        <w:ind w:firstLine="420"/>
      </w:pPr>
      <w:r>
        <w:t>关键词：工业本体；知识图谱；大语言模型；适航认证；关联强度；标准注入；经验闭环；输出校验；可迁移部署；动态可视化；批量上传；语音交互</w:t>
      </w:r>
    </w:p>
    <w:p>
      <w:r>
        <w:br w:type="page"/>
      </w:r>
    </w:p>
    <w:p>
      <w:pPr>
        <w:pStyle w:val="Heading1"/>
      </w:pPr>
      <w:r>
        <w:t>第二部分：权利要求书</w:t>
      </w:r>
    </w:p>
    <w:p>
      <w:pPr>
        <w:spacing w:line="300" w:lineRule="auto" w:after="80"/>
        <w:ind w:firstLine="420"/>
      </w:pPr>
      <w:r>
        <w:rPr>
          <w:rFonts w:ascii="宋体" w:hAnsi="宋体" w:eastAsia="宋体"/>
          <w:sz w:val="22"/>
        </w:rPr>
        <w:t>（第一组：核心方法权利要求）</w:t>
      </w:r>
    </w:p>
    <w:p>
      <w:pPr>
        <w:pStyle w:val="Heading2"/>
      </w:pPr>
      <w:r>
        <w:t>权利要求1</w:t>
      </w:r>
    </w:p>
    <w:p>
      <w:pPr>
        <w:spacing w:line="300" w:lineRule="auto" w:after="80"/>
        <w:ind w:firstLine="420"/>
      </w:pPr>
      <w:r>
        <w:rPr>
          <w:rFonts w:ascii="宋体" w:hAnsi="宋体" w:eastAsia="宋体"/>
          <w:sz w:val="22"/>
        </w:rPr>
        <w:t>一种面向民机适航认证的本体约束型知识图谱构建与证据锚定分析方法，其特征在于，包括以下步骤：</w:t>
        <w:br/>
        <w:t>S1. 构建三层本体架构：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br/>
        <w:t>S2. 适航标准条款注入：建立包含中国CAAC、美国FAA和欧洲EASA三大适航当局的标准数据库，对输入的民机技术文档提取关键词，基于BM25稀疏检索与稠密向量检索的混合标准条款检索算法，从所述标准数据库中检索相关标准条款，将标准条款编号、摘要和等效引用关系注入大语言模型的提示词上下文；</w:t>
        <w:br/>
        <w:t>S3. 关联强度计算：对知识图谱中实体间的关系，基于多因子加权公式计算关联强度值，所述多因子加权公式综合考虑关系类型基础权重、证据距离权重、标准条款支持权重、图结构支持权重和大语言模型置信度权重五个分量，将计算得到的关联强度值映射到赤、橙、黄、绿、青、蓝、紫七级色谱区间；</w:t>
        <w:br/>
        <w:t>S4. 知识图谱构建：将提取的实体作为图谱节点，关系作为图谱带权边存入RDF三元组存储和图数据结构中，每条边携带步骤S3所述的关联强度值；</w:t>
        <w:br/>
        <w:t>S5. 多角色大语言模型知识提取：配置至少包含知识提取角色和本体推理角色的多角色大语言模型Agent系统，所述知识提取角色在步骤S1所述三层本体的类型约束、步骤S2所述标准条款注入和步骤S3所述关联强度标注规则的共同引导下，从输入的民机技术文档中提取结构化的实体和关系信息；</w:t>
        <w:br/>
        <w:t>S6. 输出一致性校验：对步骤S5提取的实体和关系执行六层校验，包括JSON Schema校验、本体一致性校验、标准引用校验、证据跨度校验、冲突检测和置信度阈值控制，仅将通过全部校验的实体和关系写入步骤S4所述知识图谱；</w:t>
        <w:br/>
        <w:t>S7. 经验闭环积累：在步骤S6完成后，自动对通过校验的分析结果进行经验提炼，将提炼的经验按永久经验和临时经验分类存储，并在后续分析中将历史经验注入大语言模型的提示词上下文，形成分析→提炼→积累→注入的经验闭环。</w:t>
      </w:r>
    </w:p>
    <w:p>
      <w:pPr>
        <w:pStyle w:val="Heading2"/>
      </w:pPr>
      <w:r>
        <w:t>权利要求2</w:t>
      </w:r>
    </w:p>
    <w:p>
      <w:pPr>
        <w:spacing w:line="300" w:lineRule="auto" w:after="80"/>
        <w:ind w:firstLine="420"/>
      </w:pPr>
      <w:r>
        <w:rPr>
          <w:rFonts w:ascii="宋体" w:hAnsi="宋体" w:eastAsia="宋体"/>
          <w:sz w:val="22"/>
        </w:rPr>
        <w:t>根据权利要求1所述的方法，其特征在于，步骤S1中所述的实体类型层级具体包括：</w:t>
        <w:br/>
        <w:t>（a）BFO顶层的6种基础类型：实体、过程、功能、质量、角色、倾向；</w:t>
        <w:br/>
        <w:t>（b）IOF核心层的18种工业通用类型：需求、设计、验证、接口、约束、规范、组件、系统、测试、风险、标准、文档、计划、报告、决策、指标、工具、人员；</w:t>
        <w:br/>
        <w:t>（c）航空领域层的50种民机适航专用类型，至少包括：飞机级需求、系统级需求、子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问题报告。</w:t>
      </w:r>
    </w:p>
    <w:p>
      <w:pPr>
        <w:pStyle w:val="Heading2"/>
      </w:pPr>
      <w:r>
        <w:t>权利要求3</w:t>
      </w:r>
    </w:p>
    <w:p>
      <w:pPr>
        <w:spacing w:line="300" w:lineRule="auto" w:after="80"/>
        <w:ind w:firstLine="420"/>
      </w:pPr>
      <w:r>
        <w:rPr>
          <w:rFonts w:ascii="宋体" w:hAnsi="宋体" w:eastAsia="宋体"/>
          <w:sz w:val="22"/>
        </w:rPr>
        <w:t>根据权利要求1所述的方法，其特征在于，步骤S3中所述多因子加权关联强度计算公式为：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其中：</w:t>
        <w:br/>
        <w:t>S_type为关系类型基础权重，根据关系所属类别预设权重，追溯关系和组成关系赋予最高基础权重，参考关系和相似关系赋予最低基础权重；</w:t>
        <w:br/>
        <w:t>S_evidence为证据距离权重，根据源实体与目标实体是否来源于同一文档、同一章节、同一句子赋予递增权重；</w:t>
        <w:br/>
        <w:t>S_standard为标准条款支持权重，若关系被适航标准条款直接支持则赋予最高权重，未被支持则赋予零权重；</w:t>
        <w:br/>
        <w:t>S_graph为图结构支持权重，基于共同邻居比例、最短路径长度和节点中心性计算图拓扑支持度；</w:t>
        <w:br/>
        <w:t>S_llm为大语言模型置信度权重，由大语言模型在知识提取时输出的置信度分数经归一化后得到；</w:t>
        <w:br/>
        <w:t>α、β、γ、δ、η为可配置权重系数，且满足α+β+γ+δ+η=1。</w:t>
      </w:r>
    </w:p>
    <w:p>
      <w:pPr>
        <w:pStyle w:val="Heading2"/>
      </w:pPr>
      <w:r>
        <w:t>权利要求4</w:t>
      </w:r>
    </w:p>
    <w:p>
      <w:pPr>
        <w:spacing w:line="300" w:lineRule="auto" w:after="80"/>
        <w:ind w:firstLine="420"/>
      </w:pPr>
      <w:r>
        <w:rPr>
          <w:rFonts w:ascii="宋体" w:hAnsi="宋体" w:eastAsia="宋体"/>
          <w:sz w:val="22"/>
        </w:rPr>
        <w:t>根据权利要求1所述的方法，其特征在于，步骤S2中所述混合标准条款检索算法的评分函数为：</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其中：</w:t>
        <w:br/>
        <w:t>q为从文档提取的关键词集合，c为标准条款文本；</w:t>
        <w:br/>
        <w:t>BM25(q, c)为基于Jieba中文分词的BM25词汇相关性分数；</w:t>
        <w:br/>
        <w:t>CosSim(q, c)为查询向量与标准条款向量间的余弦相似度；</w:t>
        <w:br/>
        <w:t>TypeMatch(q, c)为查询词与标准条款适用实体类型的类型匹配分数；</w:t>
        <w:br/>
        <w:t>ProjectContext(q, c)为当前分析机型项目与标准条款适用范围的上下文匹配分数；</w:t>
        <w:br/>
        <w:t>λ_1、λ_2、λ_3、λ_4为可配置融合权重。</w:t>
      </w:r>
    </w:p>
    <w:p>
      <w:pPr>
        <w:pStyle w:val="Heading2"/>
      </w:pPr>
      <w:r>
        <w:t>权利要求5</w:t>
      </w:r>
    </w:p>
    <w:p>
      <w:pPr>
        <w:spacing w:line="300" w:lineRule="auto" w:after="80"/>
        <w:ind w:firstLine="420"/>
      </w:pPr>
      <w:r>
        <w:rPr>
          <w:rFonts w:ascii="宋体" w:hAnsi="宋体" w:eastAsia="宋体"/>
          <w:sz w:val="22"/>
        </w:rPr>
        <w:t>根据权利要求1所述的方法，其特征在于，步骤S6中所述六层输出一致性校验具体包括：</w:t>
        <w:br/>
        <w:t>（a）JSON Schema校验：检查提取输出中的实体类型、关系类型、必填字段是否符合预定义的数据结构Schema，字段缺失或类型不匹配则判定为校验失败；</w:t>
        <w:br/>
        <w:t>（b）本体一致性校验：检查关系两端实体的类型是否满足关系类型定义的允许类型约束，例如failure_leads_to关系只允许failure_state类型与hazard类型或function类型；</w:t>
        <w:br/>
        <w:t>（c）标准引用校验：凡涉及DAL分配、FHA结论、PSSA结论、SSA结论的实体或关系，必须绑定至少一个适航标准条款编号或证据片段标识；</w:t>
        <w:br/>
        <w:t>（d）证据跨度校验：每个实体和关系必须携带来源文档标识、页码、段落编号和字符范围，确保结论可回指原文；</w:t>
        <w:br/>
        <w:t>（e）冲突检测：当不同Agent角色对同一实体给出矛盾的属性值或关系类型时，标记为冲突项并进入人工复核队列；</w:t>
        <w:br/>
        <w:t>（f）置信度阈值控制：设定关联强度下限阈值，低于阈值的关系仅标记为候选关系，不进入正式知识图谱。</w:t>
      </w:r>
    </w:p>
    <w:p>
      <w:pPr>
        <w:pStyle w:val="Heading2"/>
      </w:pPr>
      <w:r>
        <w:t>权利要求6</w:t>
      </w:r>
    </w:p>
    <w:p>
      <w:pPr>
        <w:spacing w:line="300" w:lineRule="auto" w:after="80"/>
        <w:ind w:firstLine="420"/>
      </w:pPr>
      <w:r>
        <w:rPr>
          <w:rFonts w:ascii="宋体" w:hAnsi="宋体" w:eastAsia="宋体"/>
          <w:sz w:val="22"/>
        </w:rPr>
        <w:t>根据权利要求1所述的方法，其特征在于，步骤S7中所述经验闭环积累的具体实现方式为：</w:t>
        <w:br/>
        <w:t>（a）在知识提取或安全评估完成后，将经步骤S6校验通过的分析结果发送给大语言模型，由其按预设模板提炼出具有经验标识、标题、类别、内容、适用条件、关联标准、置信度和依据来源的经验条目；</w:t>
        <w:br/>
        <w:t>（b）将经验条目分为永久经验和临时经验两个等级存储，其中永久经验为经过人工审核确认的高置信度经验，临时经验为尚未审核的初始提炼经验；</w:t>
        <w:br/>
        <w:t>（c）经验按飞机型号项目分目录管理，同时生成中文和英文两个版本的Markdown格式文件供人工审核；</w:t>
        <w:br/>
        <w:t>（d）在后续分析中，根据当前分析的机型项目和分析类型，自动检索匹配的历史经验，按使用次数和置信度排序后注入大语言模型的提示词上下文。</w:t>
      </w:r>
    </w:p>
    <w:p>
      <w:pPr>
        <w:pStyle w:val="Heading2"/>
      </w:pPr>
      <w:r>
        <w:t>权利要求7</w:t>
      </w:r>
    </w:p>
    <w:p>
      <w:pPr>
        <w:spacing w:line="300" w:lineRule="auto" w:after="80"/>
        <w:ind w:firstLine="420"/>
      </w:pPr>
      <w:r>
        <w:rPr>
          <w:rFonts w:ascii="宋体" w:hAnsi="宋体" w:eastAsia="宋体"/>
          <w:sz w:val="22"/>
        </w:rPr>
        <w:t>根据权利要求1所述的方法，其特征在于，步骤S4中还包括知识图谱分析功能：</w:t>
        <w:br/>
        <w:t>（a）追溯链完整性检测：基于图结构中需求层级节点的入度和出度，检测V模型追溯链中的断链节点和孤立节点，计算追溯覆盖率；</w:t>
        <w:br/>
        <w:t>（b）缺失链接预测：基于共同邻居关系计算未直接连接的节点对之间的潜在关联概率；</w:t>
        <w:br/>
        <w:t>（c）知识簇聚类：使用社区发现算法将知识图谱分解为若干紧密相关的知识簇；</w:t>
        <w:br/>
        <w:t>（d）桥接节点发现：计算节点的介数中心性，发现连接不同知识簇的关键桥接实体；</w:t>
        <w:br/>
        <w:t>（e）变更影响传播路径计算：对指定变更节点，沿图谱边按关联强度递减方向传播影响，计算上游影响、下游影响、横向影响、安全影响和认证影响五维度的传播路径和波及范围。</w:t>
      </w:r>
    </w:p>
    <w:p>
      <w:pPr>
        <w:pStyle w:val="Heading2"/>
      </w:pPr>
      <w:r>
        <w:t>权利要求8</w:t>
      </w:r>
    </w:p>
    <w:p>
      <w:pPr>
        <w:spacing w:line="300" w:lineRule="auto" w:after="80"/>
        <w:ind w:firstLine="420"/>
      </w:pPr>
      <w:r>
        <w:rPr>
          <w:rFonts w:ascii="宋体" w:hAnsi="宋体" w:eastAsia="宋体"/>
          <w:sz w:val="22"/>
        </w:rPr>
        <w:t>根据权利要求1所述的方法，其特征在于，步骤S2中所述标准数据库中的每条标准记录包含标准条款对象，所述标准条款对象的数据结构包括：</w:t>
        <w:br/>
        <w:t>标准编号、版本号、条款标识、中英文标题、发布机构、等效引用映射、适用实体类型列表、要求输出字段列表和修订日期；</w:t>
        <w:br/>
        <w:t>其中版本号支持多版本共存，等效引用映射记录该条款在三大适航当局标准体系中的对应等效条款，当标准版本更新时，系统自动标记受影响的图谱节点和关系并生成更新影响报告。</w:t>
      </w:r>
    </w:p>
    <w:p>
      <w:pPr>
        <w:spacing w:line="300" w:lineRule="auto" w:after="80"/>
        <w:ind w:firstLine="420"/>
      </w:pPr>
      <w:r>
        <w:rPr>
          <w:rFonts w:ascii="宋体" w:hAnsi="宋体" w:eastAsia="宋体"/>
          <w:sz w:val="22"/>
        </w:rPr>
        <w:t>（第二组：系统权利要求）</w:t>
      </w:r>
    </w:p>
    <w:p>
      <w:pPr>
        <w:pStyle w:val="Heading2"/>
      </w:pPr>
      <w:r>
        <w:t>权利要求9</w:t>
      </w:r>
    </w:p>
    <w:p>
      <w:pPr>
        <w:spacing w:line="300" w:lineRule="auto" w:after="80"/>
        <w:ind w:firstLine="420"/>
      </w:pPr>
      <w:r>
        <w:rPr>
          <w:rFonts w:ascii="宋体" w:hAnsi="宋体" w:eastAsia="宋体"/>
          <w:sz w:val="22"/>
        </w:rPr>
        <w:t>一种面向民机适航认证的本体约束型知识图谱构建与证据锚定分析系统，其特征在于，包括：</w:t>
        <w:br/>
        <w:t>本体知识图谱引擎模块，用于管理基于BFO/IOF三层架构的本体定义、实体节点和带关联强度的关系边，提供RDF三元组语义存储和NetworkX图数据结构双引擎支持，并执行追溯链完整性检测、缺失链接预测、知识簇聚类和变更影响传播路径计算；</w:t>
        <w:br/>
        <w:t>标准条款注入引擎模块，用于存储中国CAAC、美国FAA和欧洲EASA三大适航当局标准体系数据，执行基于BM25稀疏检索与稠密向量检索混合算法的标准条款检索，并将检索结果注入大语言模型提示词上下文；</w:t>
        <w:br/>
        <w:t>大语言模型多角色Agent引擎模块，包含至少知识提取角色和本体推理角色，各角色具有独立的系统提示词，所述系统提示词包含三层本体类型体系、关联强度标注规则和标准条款注入信息；</w:t>
        <w:br/>
        <w:t>关联强度计算引擎模块，用于执行多因子加权关联强度计算，并将强度值映射到赤橙黄绿青蓝紫七级色谱；</w:t>
        <w:br/>
        <w:t>输出一致性校验引擎模块，用于执行JSON Schema校验、本体一致性校验、标准引用校验、证据跨度校验、冲突检测和置信度阈值控制六层校验；</w:t>
        <w:br/>
        <w:t>经验积累与审计引擎模块，用于实现分析结果的自动经验提炼、按机型分目录管理、中英文双语文档生成、人工审核流程和历史经验上下文注入；</w:t>
        <w:br/>
        <w:t>安全审计与权限管理模块，用于实现用户权限分级、文档密级标签、模型调用日志、图谱修改日志、Agent输出版本记录、人工确认记录、审计报告生成和敏感信息脱敏。</w:t>
      </w:r>
    </w:p>
    <w:p>
      <w:pPr>
        <w:pStyle w:val="Heading2"/>
      </w:pPr>
      <w:r>
        <w:t>权利要求10</w:t>
      </w:r>
    </w:p>
    <w:p>
      <w:pPr>
        <w:spacing w:line="300" w:lineRule="auto" w:after="80"/>
        <w:ind w:firstLine="420"/>
      </w:pPr>
      <w:r>
        <w:rPr>
          <w:rFonts w:ascii="宋体" w:hAnsi="宋体" w:eastAsia="宋体"/>
          <w:sz w:val="22"/>
        </w:rPr>
        <w:t>根据权利要求9所述的系统，其特征在于，所述大语言模型多角色Agent引擎模块还包括安全评估师角色、V模型追溯器角色、变更影响分析器角色和文档整理器角色；</w:t>
        <w:br/>
        <w:t>所述安全评估师角色基于ARP4761标准执行功能危险评估、初步系统安全评估、系统安全评估和共因分析；</w:t>
        <w:br/>
        <w:t>所述V模型追溯器角色基于DO-178C标准执行需求到设计到代码到测试的追溯链完整性检查；</w:t>
        <w:br/>
        <w:t>所述变更影响分析器角色对指定变更项执行上游影响、下游影响、横向影响、安全影响和认证影响五维度评估；</w:t>
        <w:br/>
        <w:t>所述文档整理器角色基于民机项目文档体系自动分类和归档输入文档。</w:t>
      </w:r>
    </w:p>
    <w:p>
      <w:pPr>
        <w:pStyle w:val="Heading2"/>
      </w:pPr>
      <w:r>
        <w:t>权利要求11</w:t>
      </w:r>
    </w:p>
    <w:p>
      <w:pPr>
        <w:spacing w:line="300" w:lineRule="auto" w:after="80"/>
        <w:ind w:firstLine="420"/>
      </w:pPr>
      <w:r>
        <w:rPr>
          <w:rFonts w:ascii="宋体" w:hAnsi="宋体" w:eastAsia="宋体"/>
          <w:sz w:val="22"/>
        </w:rPr>
        <w:t>根据权利要求9所述的系统，其特征在于，还包括检索增强生成管线模块，包含BM25稀疏检索器、稠密向量检索器、混合融合器、启发式重排器和证据锚定生成器，用于对用户自然语言查询执行混合检索和基于证据的回答生成；</w:t>
        <w:br/>
        <w:t>其中所述混合融合器对BM25稀疏分数和稠密向量分数执行加权线性融合与倒排融合两阶段融合，所述启发式重排器基于查询关键词与候选文档的词汇重叠率和文档长度加权计算重排分数，所述证据锚定生成器强制要求生成回答以来源标注格式标注每条论述的证据出处。</w:t>
      </w:r>
    </w:p>
    <w:p>
      <w:pPr>
        <w:pStyle w:val="Heading2"/>
      </w:pPr>
      <w:r>
        <w:t>权利要求12</w:t>
      </w:r>
    </w:p>
    <w:p>
      <w:pPr>
        <w:spacing w:line="300" w:lineRule="auto" w:after="80"/>
        <w:ind w:firstLine="420"/>
      </w:pPr>
      <w:r>
        <w:t>根据权利要求9所述的系统，其特征在于，还包括图形用户界面模块，提供交互式界面，包含对话交互、知识图谱可视化、追溯矩阵、安全评估、经验管理、标准库和文档管理功能；所述知识图谱可视化模块包括知识树视图和图谱视图，知识树视图按文档、章节、实体类型、标准条款和经验条目形成层级化浏览，图谱视图采用可缩放视野扩展布局，支持节点聚焦、画布平移、滚轮缩放、局部展开、节点拖拽、详情弹窗、来源证据回跳、关系强度着色和标签避让；当用户聚焦某一实体、故障、标准条款或文档节点时，系统自动扩大该节点邻域的可视范围并对非相关节点进行降透明处理，从而形成类似演示式缩放浏览的动态图谱交互。</w:t>
      </w:r>
    </w:p>
    <w:p>
      <w:pPr>
        <w:spacing w:line="300" w:lineRule="auto" w:after="80"/>
        <w:ind w:firstLine="420"/>
      </w:pPr>
      <w:r>
        <w:rPr>
          <w:rFonts w:ascii="宋体" w:hAnsi="宋体" w:eastAsia="宋体"/>
          <w:sz w:val="22"/>
        </w:rPr>
        <w:t>（第三组：计算机可读存储介质/电子设备权利要求）</w:t>
      </w:r>
    </w:p>
    <w:p>
      <w:pPr>
        <w:pStyle w:val="Heading2"/>
      </w:pPr>
      <w:r>
        <w:t>权利要求13</w:t>
      </w:r>
    </w:p>
    <w:p>
      <w:pPr>
        <w:spacing w:line="300" w:lineRule="auto" w:after="80"/>
        <w:ind w:firstLine="420"/>
      </w:pPr>
      <w:r>
        <w:rPr>
          <w:rFonts w:ascii="宋体" w:hAnsi="宋体" w:eastAsia="宋体"/>
          <w:sz w:val="22"/>
        </w:rPr>
        <w:t>一种电子设备，包括处理器和存储器，所述存储器中存储有计算机程序，所述计算机程序被所述处理器执行时，实现如权利要求1至8中任一项所述的方法。</w:t>
      </w:r>
    </w:p>
    <w:p>
      <w:pPr>
        <w:pStyle w:val="Heading2"/>
      </w:pPr>
      <w:r>
        <w:t>权利要求14</w:t>
      </w:r>
    </w:p>
    <w:p>
      <w:pPr>
        <w:spacing w:line="300" w:lineRule="auto" w:after="80"/>
        <w:ind w:firstLine="420"/>
      </w:pPr>
      <w:r>
        <w:rPr>
          <w:rFonts w:ascii="宋体" w:hAnsi="宋体" w:eastAsia="宋体"/>
          <w:sz w:val="22"/>
        </w:rPr>
        <w:t>一种计算机可读存储介质，其上存储有计算机程序，所述计算机程序被处理器执行时，实现如权利要求1至8中任一项所述的方法。</w:t>
      </w:r>
    </w:p>
    <w:p>
      <w:pPr>
        <w:spacing w:line="300" w:lineRule="auto" w:after="80"/>
        <w:ind w:firstLine="420"/>
      </w:pPr>
      <w:r>
        <w:rPr>
          <w:rFonts w:ascii="宋体" w:hAnsi="宋体" w:eastAsia="宋体"/>
          <w:sz w:val="22"/>
        </w:rPr>
        <w:t>（第四组：核心子方法及检索增强权利要求）</w:t>
      </w:r>
    </w:p>
    <w:p>
      <w:pPr>
        <w:pStyle w:val="Heading2"/>
      </w:pPr>
      <w:r>
        <w:t>权利要求15</w:t>
      </w:r>
    </w:p>
    <w:p>
      <w:pPr>
        <w:spacing w:line="300" w:lineRule="auto" w:after="80"/>
        <w:ind w:firstLine="420"/>
      </w:pPr>
      <w:r>
        <w:rPr>
          <w:rFonts w:ascii="宋体" w:hAnsi="宋体" w:eastAsia="宋体"/>
          <w:sz w:val="22"/>
        </w:rPr>
        <w:t>根据权利要求1所述的方法，其特征在于，步骤S5中所述多角色大语言模型Agent系统包括以下六个专业角色：</w:t>
        <w:br/>
        <w:t>（a）通用知识提取器：负责从文档中提取符合三层本体架构的实体和关系，输出结构化JSON格式数据；</w:t>
        <w:br/>
        <w:t>（b）本体推理器：基于已构建的知识图谱，执行V模型追溯完整性评估、安全评估覆盖率计算、缺失链接预测和知识簇聚类分析；</w:t>
        <w:br/>
        <w:t>（c）安全评估师：执行符合ARP4761标准的功能危险评估、初步系统安全评估、系统安全评估和共因分析，输出危险列表和DAL等级分配方案；</w:t>
        <w:br/>
        <w:t>（d）V模型追溯器：执行符合DO-178C标准的追溯完整性检查，检验高层需求到低层需求、源代码和测试用例之间的追溯链完整性；</w:t>
        <w:br/>
        <w:t>（e）变更影响分析器：对指定变更项执行上游影响、下游影响、横向影响、安全影响和认证影响五维度评估；</w:t>
        <w:br/>
        <w:t>（f）文档整理器：基于民机项目文档体系自动分类和归档输入文档。</w:t>
      </w:r>
    </w:p>
    <w:p>
      <w:pPr>
        <w:pStyle w:val="Heading2"/>
      </w:pPr>
      <w:r>
        <w:t>权利要求16</w:t>
      </w:r>
    </w:p>
    <w:p>
      <w:pPr>
        <w:spacing w:line="300" w:lineRule="auto" w:after="80"/>
        <w:ind w:firstLine="420"/>
      </w:pPr>
      <w:r>
        <w:t>根据权利要求1所述的方法，其特征在于，还包括混合检索增强生成步骤：S8. 对用户输入的自然语言查询，同时执行BM25稀疏检索和稠密向量检索两条检索路径，将两条路径的检索结果通过加权线性融合与倒排融合策略合并为统一的候选证据集合，再经启发式重排器按关键词重叠度、元数据匹配度、文档来源多样性和文本长度对候选证据重排序，最终将排序后的Top-K证据作为上下文输入大语言模型，执行证据锚定生成，生成的回答强制标注证据来源；其中所述BM25稀疏检索基于Jieba中文分词构建倒排索引，支持元数据字段权重提升；所述稠密向量检索可采用远程嵌入模型、本地嵌入模型或确定性本地特征向量化方式实现，当远程嵌入服务不可用或配置为关闭时，系统启用本地快速向量化与缓存机制，保证新增资料能够先被快速检索和后台重建索引。</w:t>
      </w:r>
    </w:p>
    <w:p>
      <w:pPr>
        <w:pStyle w:val="Heading2"/>
      </w:pPr>
      <w:r>
        <w:t>权利要求17</w:t>
      </w:r>
    </w:p>
    <w:p>
      <w:pPr>
        <w:spacing w:line="300" w:lineRule="auto" w:after="80"/>
        <w:ind w:firstLine="420"/>
      </w:pPr>
      <w:r>
        <w:rPr>
          <w:rFonts w:ascii="宋体" w:hAnsi="宋体" w:eastAsia="宋体"/>
          <w:sz w:val="22"/>
        </w:rPr>
        <w:t>根据权利要求16所述的方法，其特征在于，步骤S8之前还包括智能查询路由步骤：</w:t>
        <w:br/>
        <w:t>S8-0. 对输入的用户查询，根据查询的复杂度标记和关键词特征，自动选择以下三条检索路径之一：</w:t>
        <w:br/>
        <w:t>（a）基线路径：执行步骤S8所述的混合检索增强生成，适用于简单的事实查询；</w:t>
        <w:br/>
        <w:t>（b）智能体路径：执行基于YAML声明式工作流图的多步推理检索，适用于需要多步推理的复杂查询；</w:t>
        <w:br/>
        <w:t>（c）递归语言模型路径：在可选实施方式中，针对结构化查询，系统通过受限代码执行环境执行递归式检索和中间变量审计；</w:t>
        <w:br/>
        <w:t>所述查询路由器支持特征标记动态开关各路径，当指定路径被禁用时自动降级到基线路径。</w:t>
      </w:r>
    </w:p>
    <w:p>
      <w:pPr>
        <w:pStyle w:val="Heading2"/>
      </w:pPr>
      <w:r>
        <w:t>权利要求18</w:t>
      </w:r>
    </w:p>
    <w:p>
      <w:pPr>
        <w:spacing w:line="300" w:lineRule="auto" w:after="80"/>
        <w:ind w:firstLine="420"/>
      </w:pPr>
      <w:r>
        <w:rPr>
          <w:rFonts w:ascii="宋体" w:hAnsi="宋体" w:eastAsia="宋体"/>
          <w:sz w:val="22"/>
        </w:rPr>
        <w:t>根据权利要求17所述的方法，其特征在于，所述智能体路径的多步推理检索具体包括：</w:t>
        <w:br/>
        <w:t>（a）查询重写：由大语言模型将用户原始查询改写为更适合检索的优化查询；</w:t>
        <w:br/>
        <w:t>（b）多步推理检索：按YAML工作流图的步骤拓扑依次执行多轮检索，每一步基于上一步的检索结果生成新的子查询；</w:t>
        <w:br/>
        <w:t>（c）自校正循环：在每轮检索后由大语言模型评估当前检索结果的充分性，若判定结果不充分则自动生成补充查询进入下一轮检索，直至结果充分或达到最大迭代次数；</w:t>
        <w:br/>
        <w:t>（d）证据汇聚：将多轮检索积累的全部证据合并去重，送入证据锚定生成器生成最终回答。</w:t>
      </w:r>
    </w:p>
    <w:p>
      <w:r>
        <w:br w:type="page"/>
      </w:r>
    </w:p>
    <w:p>
      <w:r>
        <w:rPr>
          <w:rFonts w:ascii="宋体" w:hAnsi="宋体"/>
          <w:sz w:val="21"/>
        </w:rPr>
        <w:t>（第五组：硬件适配与高吞吐推理权利要求）</w:t>
      </w:r>
    </w:p>
    <w:p>
      <w:r>
        <w:rPr>
          <w:rFonts w:ascii="宋体" w:hAnsi="宋体"/>
          <w:b/>
          <w:sz w:val="21"/>
        </w:rPr>
        <w:t>权利要求19</w:t>
      </w:r>
    </w:p>
    <w:p>
      <w:r>
        <w:rPr>
          <w:rFonts w:ascii="宋体" w:hAnsi="宋体"/>
          <w:sz w:val="21"/>
        </w:rPr>
        <w:t>根据权利要求9所述的系统，其特征在于，还包括硬件适配层，所述硬件适配层用于对CPU、GPU、NPU、DCU、MLU及其他异构计算设备进行设备探测、算子能力识别、后端选择、模型切分和内存规划；所述硬件适配层支持包括但不限于昇腾NPU、海光DCU、寒武纪MLU、昆仑芯、摩尔线程计算卡以及通用图形处理器在内的计算设备，并在不同设备之间屏蔽模型加载、张量精度、显存或内存管理接口差异。</w:t>
      </w:r>
    </w:p>
    <w:p>
      <w:r>
        <w:rPr>
          <w:rFonts w:ascii="宋体" w:hAnsi="宋体"/>
          <w:b/>
          <w:sz w:val="21"/>
        </w:rPr>
        <w:t>权利要求20</w:t>
      </w:r>
    </w:p>
    <w:p>
      <w:r>
        <w:rPr>
          <w:rFonts w:ascii="宋体" w:hAnsi="宋体"/>
          <w:sz w:val="21"/>
        </w:rPr>
        <w:t>根据权利要求16或19所述的方法或系统，其特征在于，还包括高吞吐token推理调度步骤：将多用户维修问答请求写入请求队列，按照输入长度、生成长度、证据包大小和设备剩余显存或内存进行动态批处理；在生成阶段采用连续批处理、异步调度和流式输出，使已完成请求能够及时释放缓存并使新请求能够加入正在运行的批次。</w:t>
      </w:r>
    </w:p>
    <w:p>
      <w:r>
        <w:rPr>
          <w:rFonts w:ascii="宋体" w:hAnsi="宋体"/>
          <w:b/>
          <w:sz w:val="21"/>
        </w:rPr>
        <w:t>权利要求21</w:t>
      </w:r>
    </w:p>
    <w:p>
      <w:r>
        <w:rPr>
          <w:rFonts w:ascii="宋体" w:hAnsi="宋体"/>
          <w:sz w:val="21"/>
        </w:rPr>
        <w:t>根据权利要求20所述的方法或系统，其特征在于，大语言模型问答、候选证据重排序、证据摘要生成和维修问答生成中的至少一种计算任务可在国产计算卡上执行；检索服务、图谱构建服务和生成服务之间通过任务队列或服务接口解耦，从而允许PDF解析、向量化、图谱推理和token生成在不同计算资源上分阶段执行。</w:t>
      </w:r>
    </w:p>
    <w:p>
      <w:r>
        <w:rPr>
          <w:rFonts w:ascii="宋体" w:hAnsi="宋体"/>
          <w:b/>
          <w:sz w:val="21"/>
        </w:rPr>
        <w:t>权利要求22</w:t>
      </w:r>
    </w:p>
    <w:p>
      <w:r>
        <w:rPr>
          <w:rFonts w:ascii="宋体" w:hAnsi="宋体"/>
          <w:sz w:val="21"/>
        </w:rPr>
        <w:t>根据权利要求20所述的方法或系统，其特征在于，高吞吐token推理调度包括KV cache分页管理、prefix cache复用、混合精度或量化推理、多卡并行和缓存淘汰策略；其中热点标准条款、维修案例、故障知识和培训规范片段被组织为可复用前缀或候选证据缓存，以降低重复预填充计算和显存或内存占用。</w:t>
      </w:r>
    </w:p>
    <w:p>
      <w:r>
        <w:rPr>
          <w:rFonts w:ascii="宋体" w:hAnsi="宋体"/>
          <w:b/>
          <w:sz w:val="21"/>
        </w:rPr>
        <w:t>权利要求23</w:t>
      </w:r>
    </w:p>
    <w:p>
      <w:r>
        <w:rPr>
          <w:rFonts w:ascii="宋体" w:hAnsi="宋体"/>
          <w:sz w:val="21"/>
        </w:rPr>
        <w:t>根据权利要求19至22任一项所述的方法或系统，其特征在于，还包括运行日志与审计追踪步骤：记录每次问答或知识抽取对应的模型版本、硬件后端、设备标识、推理参数、检索证据、生成答案、首token延迟、总响应延迟、token吞吐统计和异常回退事件；当国产计算卡不可用、显存不足或推理服务异常时，系统自动切换至CPU、GPU或低并发模式，并将降级原因写入审计日志。</w:t>
      </w:r>
    </w:p>
    <w:p>
      <w:r>
        <w:t>（第六组：可迁移部署、动态可视化、批量摄取与语音交互权利要求）</w:t>
      </w:r>
    </w:p>
    <w:p>
      <w:r>
        <w:t>权利要求24</w:t>
      </w:r>
    </w:p>
    <w:p>
      <w:r>
        <w:t>根据权利要求9或19所述的系统，其特征在于，还包括可迁移部署与环境自检模块，所述模块将前端页面、后端服务、配置文件、运行目录、依赖清单和启动脚本组织为可复制的项目包；在新计算机首次运行时，自动检测操作系统、Python或等效运行时、Node或等效前端运行时、端口占用、目录读写权限、模型服务地址、向量化后端、浏览器语音能力和本地数据目录，生成环境检测报告；所述系统将API Key、模型服务地址、模型名称、向量化策略、上传目录和安全策略写入外部环境文件或配置文件，不把密钥固化在源代码中。</w:t>
      </w:r>
    </w:p>
    <w:p>
      <w:r>
        <w:t>权利要求25</w:t>
      </w:r>
    </w:p>
    <w:p>
      <w:r>
        <w:t>根据权利要求24所述的系统，其特征在于，还包括批量资料上传、ZIP安全解包、可中断传输和后台摄取模块；所述模块对小文件采用批量合并上传，对大文件采用分块并发上传，对ZIP文件在本地原始资料目录中保存原包并在隔离目录中解压，解压时校验路径穿越、文件类型、文件大小和重复文件指纹；当用户取消上传时，系统终止前端传输、清理未完成分块和临时目录；文件落盘完成后生成后台摄取任务标识，后台继续执行解析、分块、索引和图谱更新，前端通过任务状态接口轮询处理进度。</w:t>
      </w:r>
    </w:p>
    <w:p>
      <w:r>
        <w:t>权利要求26</w:t>
      </w:r>
    </w:p>
    <w:p>
      <w:r>
        <w:t>根据权利要求12所述的系统，其特征在于，所述动态图谱可视化模块采用视野可扩展的焦点布局机制：根据节点类型、层级、关系强度、证据来源和用户当前焦点计算节点初始位置；通过碰撞检测、标签包围盒避让、边长约束和视口裁剪降低节点与文字重叠；通过缩放视图盒、平移矩阵或等效画布变换实现连续缩放；通过焦点节点邻域展开、远端节点折叠和路径高亮实现从宏观知识树到局部证据链的连续浏览。</w:t>
      </w:r>
    </w:p>
    <w:p>
      <w:r>
        <w:t>权利要求27</w:t>
      </w:r>
    </w:p>
    <w:p>
      <w:r>
        <w:t>根据权利要求9所述的系统，其特征在于，还包括语音交互与语音讲解模块，所述模块接收用户语音输入并转换为文本查询，调用检索增强生成模块获得证据锚定回答，再通过语音合成向用户朗读回答；当用户发出新的语音、点击停止、取消上传或切换问题时，系统中断正在进行的录音、识别、上传、生成或朗读任务，并在审计日志中记录中断原因和当前任务状态。</w:t>
      </w:r>
    </w:p>
    <w:p>
      <w:r>
        <w:t>权利要求28</w:t>
      </w:r>
    </w:p>
    <w:p>
      <w:r>
        <w:t>根据权利要求16或25所述的方法，其特征在于，还包括本地快速索引和后台重建机制：系统在文件上传后优先生成文件指纹、元数据、文本摘要和轻量本地向量，使文档能够快速进入候选检索范围；随后后台任务按文档优先级、文件大小和用户请求热度逐步执行精细解析、远程或本地嵌入计算、图谱更新和缓存刷新；当远程嵌入服务超时、不可用或被配置为关闭时，系统保持BM25索引和本地向量索引可用，并在服务恢复后补充重建稠密索引。</w:t>
      </w:r>
    </w:p>
    <w:p>
      <w:pPr/>
      <w:r>
        <w:rPr>
          <w:b w:val="0"/>
        </w:rPr>
        <w:t>（第七组：实时摄取、会话记忆、动态图谱联动和可复现工程实现权利要求）</w:t>
      </w:r>
    </w:p>
    <w:p>
      <w:pPr/>
      <w:r>
        <w:rPr>
          <w:b/>
        </w:rPr>
        <w:t>权利要求29</w:t>
      </w:r>
    </w:p>
    <w:p>
      <w:pPr/>
      <w:r>
        <w:rPr>
          <w:b w:val="0"/>
        </w:rPr>
        <w:t>根据权利要求25所述的系统，其特征在于，所述后台摄取模块将上传任务表示为IngestJob对象，所述对象至少包括job_id、status、total_paths、documents_processed、chunks_written、current_file、progress_percent、started_at、completed_at、duration_seconds和error字段；摄取管线对文档解析、语义分块和结构抽取并行执行，并在存在进度回调时按单篇文档完成粒度提交SQLite事务，使知识树和知识图谱能够在后台任务未全部完成时按已完成文档逐步刷新。</w:t>
      </w:r>
    </w:p>
    <w:p>
      <w:pPr/>
      <w:r>
        <w:rPr>
          <w:b/>
        </w:rPr>
        <w:t>权利要求30</w:t>
      </w:r>
    </w:p>
    <w:p>
      <w:pPr/>
      <w:r>
        <w:rPr>
          <w:b w:val="0"/>
        </w:rPr>
        <w:t>根据权利要求16或29所述的方法，其特征在于，还包括未完成摄取状态下的问答锁定步骤：当前端检测到至少一个后台摄取任务处于queued或running状态时，将问答提交按钮置为等待摄取完成状态，阻止用户基于未完全分析的知识库生成最终答案和证据链；若用户仍提交问题，系统返回包含已处理文档数、总文档数、当前文件名和已写入chunk数量的提示信息。</w:t>
      </w:r>
    </w:p>
    <w:p>
      <w:pPr/>
      <w:r>
        <w:rPr>
          <w:b/>
        </w:rPr>
        <w:t>权利要求31</w:t>
      </w:r>
    </w:p>
    <w:p>
      <w:pPr/>
      <w:r>
        <w:rPr>
          <w:b w:val="0"/>
        </w:rPr>
        <w:t>根据权利要求12或29所述的系统，其特征在于，所述动态图谱可视化模块同时接收当前知识库树、实时摄取状态和当前问答证据图，并把实时摄取状态显示为临时分析分支，把本轮Query、Entity、Evidence和Answer Claim显示为当前问答分析分支；该临时分支不写入正式文档证据，但参与前端树状图、知识图谱和焦点缩放视图的即时展示。</w:t>
      </w:r>
    </w:p>
    <w:p>
      <w:pPr/>
      <w:r>
        <w:rPr>
          <w:b/>
        </w:rPr>
        <w:t>权利要求32</w:t>
      </w:r>
    </w:p>
    <w:p>
      <w:pPr/>
      <w:r>
        <w:rPr>
          <w:b w:val="0"/>
        </w:rPr>
        <w:t>根据权利要求9或16所述的系统，其特征在于，还包括会话级长上下文记忆和历史对话管理模块；该模块为每个session_id保存会话图谱、轮次列表、长上下文摘要、当前对话临时记忆和最后锚点节点，并提供会话列表、单击载入、再次载入、删除会话和新建会话功能；追问时，系统将当前问题、会话摘要、临时记忆和最近轮次问题合成为上下文化检索查询。</w:t>
      </w:r>
    </w:p>
    <w:p>
      <w:pPr/>
      <w:r>
        <w:rPr>
          <w:b/>
        </w:rPr>
        <w:t>权利要求33</w:t>
      </w:r>
    </w:p>
    <w:p>
      <w:pPr/>
      <w:r>
        <w:rPr>
          <w:b w:val="0"/>
        </w:rPr>
        <w:t>根据权利要求16所述的方法，其特征在于，所有回答结论均带有来源类型source_type，所述source_type至少包括document、inferred、web_search、model_prior和unsupported；其中document表示来自当前知识库文档chunk，inferred表示由多个文档证据综合推理，web_search预留给真实联网搜索结果，model_prior表示模型内置知识或通用推理，unsupported表示没有可靠证据支持；系统禁止把model_prior或unsupported结论标记为document证据。</w:t>
      </w:r>
    </w:p>
    <w:p>
      <w:pPr/>
      <w:r>
        <w:rPr>
          <w:b/>
        </w:rPr>
        <w:t>权利要求34</w:t>
      </w:r>
    </w:p>
    <w:p>
      <w:pPr/>
      <w:r>
        <w:rPr>
          <w:b w:val="0"/>
        </w:rPr>
        <w:t>根据权利要求24所述的系统，其特征在于，所述迁移包生成模块在打包前排除.env、.env.local、.venv、runtime、backups、dist、__pycache__、.pyc、.log和.key文件，并写入package_manifest.json；新计算机运行时，通过Setup-NewComputer.ps1或等效脚本检测Python运行时、依赖、端口、Ollama可用性、OpenAI兼容API配置和知识库目录读写状态，从而保证迁移后能够按同一流程复现运行。</w:t>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t>[0018] 其中BM25(q, c)基于Jieba中文分词计算查询词与标准条款文本之间的词汇相关性；CosSim(q, c)可基于远程嵌入模型、本地嵌入模型或确定性本地特征向量化模块将查询和标准条款编码为向量后计算余弦相似度；TypeMatch(q,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当远程嵌入服务不可用、密钥未配置或处于内网离线模式时，系统采用本地快速向量化与缓存机制先保证检索链路可用，并在后台补充高精度向量索引。</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t>第三层标准引用校验：凡实体类型为dal_assignment、fha_item、safety_objective或关系类型为assigns_dal、failure_leads_to、mitigates的，必须绑定至少一个标准条款编号（如ARP4761、14CFR25.1309）或证据片段标识。未绑定标准引用的结论被标记为待复核。</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r>
        <w:rPr>
          <w:rFonts w:ascii="宋体" w:hAnsi="宋体"/>
          <w:b/>
          <w:sz w:val="21"/>
        </w:rPr>
        <w:t>十一、面向国产计算卡的高吞吐推理与硬件适配机制</w:t>
      </w:r>
    </w:p>
    <w:p>
      <w:r>
        <w:rPr>
          <w:rFonts w:ascii="宋体" w:hAnsi="宋体"/>
          <w:sz w:val="21"/>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r>
        <w:rPr>
          <w:rFonts w:ascii="宋体" w:hAnsi="宋体"/>
          <w:sz w:val="21"/>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r>
        <w:rPr>
          <w:rFonts w:ascii="宋体" w:hAnsi="宋体"/>
          <w:sz w:val="21"/>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r>
        <w:rPr>
          <w:rFonts w:ascii="宋体" w:hAnsi="宋体"/>
          <w:sz w:val="21"/>
        </w:rPr>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pPr/>
      <w:r>
        <w:t>十二、可迁移部署、动态可视化和高速资料摄取机制</w:t>
      </w:r>
    </w:p>
    <w:p>
      <w:pPr/>
      <w:r>
        <w:t>[0030E] 为使项目能够复制到新计算机后仍可直接运行，本发明进一步设置可迁移部署模块。该模块把后端服务、前端页面、配置文件、示例环境变量、运行脚本、打包脚本、上传目录、原始资料目录、解压目录、索引目录和审计目录组织为统一项目包；首次运行时执行环境自检，检查运行时版本、依赖安装状态、端口占用、目录权限、模型服务地址、浏览器能力和安全策略，并根据检测结果输出可读的环境报告。</w:t>
      </w:r>
    </w:p>
    <w:p>
      <w:pPr/>
      <w:r>
        <w:t>[0030F] API Key和模型服务参数采用外置配置方式管理。系统在源代码中只保留配置项名称和读取逻辑，具体密钥、OpenAI兼容服务地址、本地模型地址、默认模型名称、向量化策略、上传大小阈值和并发数写入.env、config.yaml或等效配置对象；在新计算机上更换密钥时，只需修改外部配置并重启服务，审计日志记录配置版本但不记录明文密钥。</w:t>
      </w:r>
    </w:p>
    <w:p>
      <w:pPr/>
      <w:r>
        <w:t>[0030G] 资料接入模块支持普通文件、批量文件夹和ZIP压缩包三类输入。上传文件先落入data/raw或等效原始资料目录；ZIP原包保留后解压到隔离子目录，解压过程检查相对路径、文件后缀、单文件大小、总解压大小和重复文件指纹，阻止路径穿越和非授权文件类型。小型文件采用批量合并上传，大型文件采用固定大小分块和多工作线程并发上传；用户取消上传时，前端终止传输，后端清理临时分块和未完成任务。</w:t>
      </w:r>
    </w:p>
    <w:p>
      <w:pPr/>
      <w:r>
        <w:t>[0030H] 文件落盘与资料摄取解耦。系统在文件保存成功后立即返回任务标识，后台任务继续执行解析、语义分块、BM25索引、本地向量索引、图谱更新和经验条目抽取，前端通过任务状态接口展示queued、running、finished、failed、cancelled等状态。对于一百个以上文档的导入场景，文件接收和任务排队可快速完成，耗时较长的OCR、嵌入计算和图谱推理由后台逐步处理，从而改善用户等待体验。</w:t>
      </w:r>
    </w:p>
    <w:p>
      <w:pPr/>
      <w:r>
        <w:t>[0030I] 动态知识树和图谱可视化模块采用连续缩放视野。系统同时维护层级知识树和关系图谱：知识树用于按文档、章节、实体类型、标准条款和经验条目快速定位；图谱用于展示实体、关系、证据和标准引用之间的网络结构。图谱视图基于节点类型、关系强度、证据来源和用户焦点计算布局，通过碰撞检测、标签避让、边长约束、局部展开、远端折叠和焦点高亮减少节点重叠，并通过滚轮缩放、画布拖拽、节点聚焦和视野扩展实现类似演示式缩放浏览的交互效果。</w:t>
      </w:r>
    </w:p>
    <w:p>
      <w:pPr/>
      <w:r>
        <w:t>[0030J] 语音交互模块提供语音提问和语音讲解。系统可调用浏览器语音识别、操作系统语音接口或等效语音服务将用户语音转换为文本查询，随后通过混合检索和证据锚定生成回答；回答完成后通过语音合成朗读结论、证据来源和人工复核提示。若用户在录音、上传、生成或朗读过程中发起新任务或点击中断，系统停止当前任务并写入中断状态，避免旧任务继续占用资源或输出过时结果。</w:t>
      </w:r>
    </w:p>
    <w:p>
      <w:pPr/>
      <w:r>
        <w:t>[0030K] 在一种工程实现中，前后端通过健康检查、文件上传、批量上传、分块上传、取消上传、后台摄取任务查询、知识树查询、知识图谱查询、问答生成和审计查询等接口连接。上述接口名称、脚本名称和目录名称不构成对本发明保护范围的限制，所属领域技术人员可用FastAPI、Flask、Spring、Electron、浏览器原生页面或其他等效框架实现同样功能。</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t>[0027] 本发明构建了混合检索增强生成管线，融合BM25稀疏检索与稠密向量检索的互补优势。稀疏检索阶段采用基于Jieba中文分词的BM25算法构建倒排索引，支持元数据字段权重提升。稠密检索阶段可通过远程嵌入模型、本地嵌入模型或确定性本地特征向量化模块将知识块编码为向量，采用余弦相似度计算语义相似度；当配置关闭远程嵌入或嵌入服务超时时，系统保留本地向量索引和BM25索引，避免大量文档导入时因逐段远程调用导致启动或摄取时间过长。混合融合阶段对两路分数分别归一化后以可配置权重加权求和，同时执行倒排融合（RRF）消除分数尺度不一致问题。重排阶段采用启发式重排器，基于关键词重叠率、元数据匹配度、证据来源多样性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r>
        <w:t>以下结合附图和实施例，对本发明作进一步详细说明。以下五个实施例按照工程落地顺序组织，分别覆盖系统部署与数据对象、资料解析入图与校验、航空维修PDF端到端应用、国产计算卡高吞吐推理部署、可迁移运行包与动态交互前后端。每个实施例均以可实施为原则，说明输入、输出、对象字段、处理步骤、判断条件、异常回退和审计记录。所属领域技术人员可依据下列步骤实现等同系统，而不受具体软件库、模型名称、硬件厂商、界面框架或部署脚本名称限制。</w:t>
      </w:r>
    </w:p>
    <w:p>
      <w:r>
        <w:rPr>
          <w:rFonts w:ascii="宋体" w:hAnsi="宋体"/>
          <w:b w:val="0"/>
          <w:sz w:val="21"/>
        </w:rPr>
        <w:t>在以下实施例中，“正式对象”是指通过格式、本体、标准引用、证据跨度、冲突和置信度校验后写入正式知识图谱或正式经验库的对象；“候选对象”是指存在来源证据但尚未满足全部校验条件，需要人工复核或补充证据的对象；“证据包”是指围绕一次抽取、检索或问答任务生成的EvidenceBundle，其至少包含证据编号、来源文档、页码、段落、摘要、关联实体、关联标准、置信度和审计编号。</w:t>
      </w:r>
    </w:p>
    <w:p>
      <w:r>
        <w:rPr>
          <w:rFonts w:ascii="宋体" w:hAnsi="宋体"/>
          <w:b/>
          <w:sz w:val="21"/>
        </w:rPr>
        <w:t>实施例1：系统部署、基础数据对象和硬件适配初始化</w:t>
      </w:r>
    </w:p>
    <w:p>
      <w:r>
        <w:rPr>
          <w:rFonts w:ascii="宋体" w:hAnsi="宋体"/>
          <w:b w:val="0"/>
          <w:sz w:val="21"/>
        </w:rPr>
        <w:t>[0030] 本实施例说明系统从空白部署环境到可接收航空维修资料、可选择推理后端并可写入审计日志的初始化过程。系统至少包括资料接入模块、文档解析模块、语义分块模块、本体知识图谱模块、标准条款检索模块、多角色模型推理模块、证据锚定生成模块、经验库模块、审计日志模块、图形复核模块和硬件适配模块。上述模块可部署在同一工作站、内网服务器或私有化服务集群中，也可按检索服务、图谱服务和生成服务拆分部署。</w:t>
      </w:r>
    </w:p>
    <w:p>
      <w:r>
        <w:rPr>
          <w:rFonts w:ascii="宋体" w:hAnsi="宋体"/>
          <w:b w:val="0"/>
          <w:sz w:val="21"/>
        </w:rPr>
        <w:t>[0031] 部署前准备包括：在目标设备上创建应用根目录，配置docs、data/raw、data/processed、knowledge/chunks、ontology、standards、experience、output/reports、output/graphs和audit目录；为每个目录设置读写权限；准备config.yaml或等效配置对象；准备标准库文件、实体类型表、关系类型表、提示词模板、权限策略和默认阈值表。若系统部署在涉密或内网环境中，上述目录应位于内网存储或本地磁盘，不依赖外部云端路径。</w:t>
      </w:r>
    </w:p>
    <w:p>
      <w:r>
        <w:rPr>
          <w:rFonts w:ascii="宋体" w:hAnsi="宋体"/>
          <w:b w:val="0"/>
          <w:sz w:val="21"/>
        </w:rPr>
        <w:t>[0032] 配置文件至少包括以下字段：backend表示模型推理后端；model_name表示默认生成模型；embedding_backend表示向量化后端；max_context_tokens表示最大上下文长度；chunk_size和chunk_overlap表示分块长度和重叠长度；retrieval.top_k表示召回数量；retrieval.sparse_weight和retrieval.dense_weight表示稀疏与稠密检索权重；rerank_top_n表示重排候选数量；audit.enabled表示是否写入审计；hardware.priority表示CPU、GPU、NPU、DCU、MLU等设备优先级；fallback.max_concurrency表示回退模式最大并发数。</w:t>
      </w:r>
    </w:p>
    <w:p>
      <w:r>
        <w:rPr>
          <w:rFonts w:ascii="宋体" w:hAnsi="宋体"/>
          <w:b w:val="0"/>
          <w:sz w:val="21"/>
        </w:rPr>
        <w:t>[0033] 初始化步骤包括：S101，读取配置文件，若缺失必要字段则使用默认值并写入配置缺省日志；S102，创建raw、processed、chunk、graph、standard、experience、audit和export目录；S103，加载标准条款库、实体类型表、关系类型表、关联强度权重表、提示词模板和权限策略；S104，执行硬件探测，形成DeviceProfile对象；S105，启动检索索引、图谱存储和模型服务健康检查；S106，向审计日志写入system_boot事件。</w:t>
      </w:r>
    </w:p>
    <w:p>
      <w:r>
        <w:rPr>
          <w:rFonts w:ascii="宋体" w:hAnsi="宋体"/>
          <w:b w:val="0"/>
          <w:sz w:val="21"/>
        </w:rPr>
        <w:t>[0034] DeviceProfile对象至少包括device_type、vendor、device_id、memory_total、memory_free、driver_version、runtime_version、backend_name、supported_precision、supported_attention_backend、tensor_parallel_capability、streaming_supported、health_status和fallback_priority字段。若未检测到可用加速卡，device_type被设为CPU，系统自动启用低并发、短上下文和保守生成策略；若检测到多个设备，系统按设备健康状态、剩余内存和配置优先级选择生成后端、向量化后端和重排序后端。</w:t>
      </w:r>
    </w:p>
    <w:p>
      <w:r>
        <w:rPr>
          <w:rFonts w:ascii="宋体" w:hAnsi="宋体"/>
          <w:b w:val="0"/>
          <w:sz w:val="21"/>
        </w:rPr>
        <w:t>[0035] 硬件探测的具体判定规则为：若设备查询命令或驱动接口返回可用设备且memory_free大于预设阈值，则health_status设为available；若设备存在但驱动版本不匹配、算子库不可用或健康检查失败，则health_status设为degraded；若设备不可见或访问权限不足，则health_status设为unavailable。对于degraded设备，系统只允许执行向量化、重排序或低风险生成任务；对于unavailable设备，系统不分配任务，并将原因写入AuditRecord。</w:t>
      </w:r>
    </w:p>
    <w:p>
      <w:r>
        <w:rPr>
          <w:rFonts w:ascii="宋体" w:hAnsi="宋体"/>
          <w:b w:val="0"/>
          <w:sz w:val="21"/>
        </w:rPr>
        <w:t>[0036] 系统为每个输入文件创建DocumentRecord对象，字段包括document_id、file_name、file_type、source_path、file_hash、version_tag、security_level、import_time、parser_status、page_count、language、domain_tags、owner和retention_policy。document_id可由文件指纹、导入时间和版本号组合生成。若同一文件重复导入且file_hash一致，系统不重复解析，而是复用已存在的DocumentRecord；若文件名相同但file_hash不同，则创建新版本并保留旧版本引用。</w:t>
      </w:r>
    </w:p>
    <w:p>
      <w:r>
        <w:rPr>
          <w:rFonts w:ascii="宋体" w:hAnsi="宋体"/>
          <w:b w:val="0"/>
          <w:sz w:val="21"/>
        </w:rPr>
        <w:t>[0037] 系统的核心中间对象包括ChunkRecord、EntityRecord、RelationRecord、StandardClause、EvidenceRecord、ExperienceEntry、QueryRecord、DeviceProfile和AuditRecord。ChunkRecord保存chunk_id、document_id、page_no、section_title、chunk_type、text、table_meta、source_span和embedding_status；EntityRecord保存entity_id、name、normalized_name、entity_type、ontology_layer、properties、source_span、standard_refs和confidence；RelationRecord保存relation_id、head_id、tail_id、relation_type、strength、color_level、evidence_ids、standard_refs、direction和audit_status。</w:t>
      </w:r>
    </w:p>
    <w:p>
      <w:r>
        <w:rPr>
          <w:rFonts w:ascii="宋体" w:hAnsi="宋体"/>
          <w:b w:val="0"/>
          <w:sz w:val="21"/>
        </w:rPr>
        <w:t>[0038] EvidenceRecord保存evidence_id、document_id、page_no、quote_summary、source_span、standard_refs、related_entities、reliability和created_by；ExperienceEntry保存experience_id、aircraft_type、task_type、applicable_conditions、content、evidence_ids、standard_refs、review_status和usage_count；QueryRecord保存query_id、query_text、query_type、route、evidence_bundle_id、answer_id和status；AuditRecord保存operation_id、operator、time、model_version、hardware_backend、parameters、input_summary、output_summary、latency、token_stat和fallback_event。上述对象统一通过document_id、source_span、evidence_id和audit_id互相引用，不以本地文件路径作为业务主键。</w:t>
      </w:r>
    </w:p>
    <w:p>
      <w:r>
        <w:rPr>
          <w:rFonts w:ascii="宋体" w:hAnsi="宋体"/>
          <w:b w:val="0"/>
          <w:sz w:val="21"/>
        </w:rPr>
        <w:t>[0039] 初始化完成的判定条件为：标准库可查询，资料目录可写入，图谱存储可创建节点和边，检索索引可接受新增chunk，模型后端返回健康状态或启用离线回退模式，审计日志可追加写入。若任一条件失败，系统不进入正式知识抽取流程，而是输出初始化异常报告，列出失败模块、失败原因、回退策略和人工处理建议。初始化异常报告至少包括error_code、failed_module、detected_state、fallback_action和manual_action字段。</w:t>
      </w:r>
    </w:p>
    <w:p>
      <w:r>
        <w:rPr>
          <w:rFonts w:ascii="宋体" w:hAnsi="宋体"/>
          <w:b w:val="0"/>
          <w:sz w:val="21"/>
        </w:rPr>
        <w:t>[0040] 本实施例的输出包括系统运行目录、配置快照、标准库加载结果、硬件探测结果、空图谱存储、空检索索引、审计启动记录和初始化报告。该输出可作为后续资料解析、图谱构建、问答生成和硬件推理调度的共同基础。</w:t>
      </w:r>
    </w:p>
    <w:p>
      <w:r>
        <w:rPr>
          <w:rFonts w:ascii="宋体" w:hAnsi="宋体"/>
          <w:b/>
          <w:sz w:val="21"/>
        </w:rPr>
        <w:t>实施例2：资料解析入图、标准注入、多角色协同和六层校验</w:t>
      </w:r>
    </w:p>
    <w:p>
      <w:r>
        <w:rPr>
          <w:rFonts w:ascii="宋体" w:hAnsi="宋体"/>
          <w:b w:val="0"/>
          <w:sz w:val="21"/>
        </w:rPr>
        <w:t>[0041] 本实施例说明如何把PDF、Word、Markdown、文本和表格资料转换为可审计知识图谱。资料接入模块接收输入文件后，根据文件类型选择解析器；对于PDF，提取页码、正文、表格、标题层级、页眉页脚和图片说明；对于Word或Markdown，提取段落、标题、表格和列表；对于扫描质量较差的页面，标记为需要OCR或人工复核。解析结果统一写入PageRecord和BlockRecord。</w:t>
      </w:r>
    </w:p>
    <w:p>
      <w:r>
        <w:rPr>
          <w:rFonts w:ascii="宋体" w:hAnsi="宋体"/>
          <w:b w:val="0"/>
          <w:sz w:val="21"/>
        </w:rPr>
        <w:t>[0042] PDF解析步骤包括：S201，读取文档元数据和页数；S202，逐页提取文本行、表格区域和图片说明；S203，删除页眉页脚、页码和重复水印；S204，保留章节标题、表格列名、项目符号和编号层级；S205，对每一页计算text_quality，若字符过少、乱码比例过高或表格结构破碎，则将该页标记为low_quality_page；S206，输出PageRecord。PageRecord至少包括document_id、page_no、raw_text、clean_text、tables、figures、quality_score和warnings。</w:t>
      </w:r>
    </w:p>
    <w:p>
      <w:r>
        <w:rPr>
          <w:rFonts w:ascii="宋体" w:hAnsi="宋体"/>
          <w:b w:val="0"/>
          <w:sz w:val="21"/>
        </w:rPr>
        <w:t>[0043] 语义分块步骤包括：S211，按章节标题、页码、表格边界和段落长度生成初始块；S212，识别块类型，至少包括故障现象块、维修动作块、标准条款块、培训要求块、安全评估块、追溯证据块和一般说明块；S213，对超过长度阈值的块按句子边界继续拆分，对过短且同属一页一节的块进行合并；S214，为每个块生成source_span，记录document_id、page_no、section_title、paragraph_index、char_start和char_end；S215，写入ChunkRecord并进入候选抽取队列。</w:t>
      </w:r>
    </w:p>
    <w:p>
      <w:r>
        <w:rPr>
          <w:rFonts w:ascii="宋体" w:hAnsi="宋体"/>
          <w:b w:val="0"/>
          <w:sz w:val="21"/>
        </w:rPr>
        <w:t>[0044] chunk_type的判定规则为：含“故障、告警、失效、异常、灯亮、压力低”等词的块优先判为故障现象块；含“检查、更换、复位、记录、签署、放行、复查”等词的块优先判为维修动作块；含“CCAR、FAR、CS、MEL、AMM、标准、规范、条款”等词的块优先判为标准条款块；含“培训、实作、考核、训练、注意事项”等词的块优先判为培训要求块；若同一块满足多种条件，则保留多个domain_tags，并在后续抽取中分别处理。</w:t>
      </w:r>
    </w:p>
    <w:p>
      <w:r>
        <w:rPr>
          <w:rFonts w:ascii="宋体" w:hAnsi="宋体"/>
          <w:b w:val="0"/>
          <w:sz w:val="21"/>
        </w:rPr>
        <w:t>[0045] 本体约束抽取按照三层本体执行。顶层类型包括实体、过程、功能、质量、角色和倾向；核心层类型包括需求、设计、验证、接口、约束、规范、组件、系统、测试、风险、标准、文档、计划、报告、决策、指标、工具和人员；航空维修领域层类型至少包括故障现象、失效状态、机载系统、部件、维修动作、MEL条目、放行限制、培训科目、人为因素、维修记录、安全目标、DAL分配和证据片段。抽取时，模型或规则引擎只能从允许类型中选择实体类型，不能自由生成未登记类型。</w:t>
      </w:r>
    </w:p>
    <w:p>
      <w:r>
        <w:rPr>
          <w:rFonts w:ascii="宋体" w:hAnsi="宋体"/>
          <w:b w:val="0"/>
          <w:sz w:val="21"/>
        </w:rPr>
        <w:t>[0046] 实体抽取流程为：S221，从ChunkRecord中识别候选术语；S222，使用术语词典、标准编号规则、英文缩写规则和上下文触发词判断候选类型；S223，将候选实体写成EntityRecord；S224，若同一document_id和相近source_span内出现同名实体，则合并为同一局部实体；S225，若跨文档出现相似实体，则暂存为candidate_same_as关系，等待跨文档共指消解确认。实体名称归一化时，系统统一大小写、去除无意义空格、扩展常见英文缩写，并保留原始名称作为alias。</w:t>
      </w:r>
    </w:p>
    <w:p>
      <w:r>
        <w:rPr>
          <w:rFonts w:ascii="宋体" w:hAnsi="宋体"/>
          <w:b w:val="0"/>
          <w:sz w:val="21"/>
        </w:rPr>
        <w:t>[0047] 关系抽取流程为：S231，根据关系触发词、句法方向、表格列名和章节语义生成候选关系；S232，根据关系类型允许的头尾实体类型过滤不合法关系；S233，计算关联强度；S234，依据强度区间映射为七级显示等级；S235，将通过阈值的关系写入RelationRecord，将未通过阈值但证据存在的关系写入候选池。关联强度S由关系类型权重、证据距离权重、标准条款权重、图结构权重和模型置信度加权得到，任一分量缺失时使用0值并写入strength_warning字段。</w:t>
      </w:r>
    </w:p>
    <w:p>
      <w:r>
        <w:rPr>
          <w:rFonts w:ascii="宋体" w:hAnsi="宋体"/>
          <w:b w:val="0"/>
          <w:sz w:val="21"/>
        </w:rPr>
        <w:t>[0048] 标准条款检索采用稀疏检索、稠密检索和类型匹配三路融合。系统从当前ChunkRecord和EntityRecord中抽取故障码、系统名、部件名、MEL编号、标准编号和动作词；BM25路径检索标准编号、中文标题、英文标题和关键词；向量路径检索语义相近条款；类型匹配路径判断条款适用实体类型是否覆盖当前实体类型；最后按R(q,c)=λ1·BM25+λ2·CosSim+λ3·TypeMatch+λ4·ProjectContext计算得分，取Top-K条款作为标准上下文注入抽取和生成流程。</w:t>
      </w:r>
    </w:p>
    <w:p>
      <w:r>
        <w:rPr>
          <w:rFonts w:ascii="宋体" w:hAnsi="宋体"/>
          <w:b w:val="0"/>
          <w:sz w:val="21"/>
        </w:rPr>
        <w:t>[0049] StandardClause对象至少包括standard_id、authority、version、clause_id、title_cn、title_en、scope、keywords、applicable_entity_types、required_fields、equivalent_refs、summary和effective_date字段。若检索到多个等效条款，系统保留authority和version差异，不把不同适航当局条款强行合并；若当前资料引用旧版本条款，系统记录version_mismatch事件，提示人工确认是否采用新版条款。</w:t>
      </w:r>
    </w:p>
    <w:p>
      <w:r>
        <w:rPr>
          <w:rFonts w:ascii="宋体" w:hAnsi="宋体"/>
          <w:b w:val="0"/>
          <w:sz w:val="21"/>
        </w:rPr>
        <w:t>[0050] 多角色协同流程包括知识提取器、本体推理器、安全评估器、追溯检查器、变更影响分析器和文档整理器。知识提取器负责候选实体和关系；本体推理器负责端点类型、层级归属和潜在链接；安全评估器负责危险、失效状态、安全目标、DAL建议和缓解措施；追溯检查器负责需求、设计、测试、维修记录和标准条款之间的覆盖关系；变更影响分析器沿图谱边输出上游、下游、横向、安全和培训影响；文档整理器只对已经通过校验的对象生成证据包和报告。</w:t>
      </w:r>
    </w:p>
    <w:p>
      <w:r>
        <w:rPr>
          <w:rFonts w:ascii="宋体" w:hAnsi="宋体"/>
          <w:b w:val="0"/>
          <w:sz w:val="21"/>
        </w:rPr>
        <w:t>[0051] 六层校验按固定顺序执行。第一层为格式校验，检查JSON字段、类型、必填项和枚举值；第二层为本体一致性校验，检查实体类型和关系端点是否匹配；第三层为标准引用校验，凡涉及安全目标、DAL、MEL、放行限制、维修记录和培训要求的对象必须绑定标准、规范或证据片段；第四层为证据跨度校验，检查source_span是否能回指到具体文档页码和段落；第五层为冲突检测，比较不同角色或不同文档对同一实体属性、原因关系或处置建议的差异；第六层为置信度阈值校验，低于阈值的对象进入人工复核队列。</w:t>
      </w:r>
    </w:p>
    <w:p>
      <w:r>
        <w:rPr>
          <w:rFonts w:ascii="宋体" w:hAnsi="宋体"/>
          <w:b w:val="0"/>
          <w:sz w:val="21"/>
        </w:rPr>
        <w:t>[0052] 冲突检测的执行规则为：若同一实体的entity_type不同，则标记type_conflict；若同一故障的原因方向相反，则标记causality_conflict；若同一维修动作对应不同放行限制，则标记release_conflict；若同一标准编号存在不同版本引用，则标记version_conflict。冲突对象不写入正式关系，只写入ConflictRecord，字段包括conflict_id、object_ids、conflict_type、evidence_ids、candidate_values、suggested_action和review_status。</w:t>
      </w:r>
    </w:p>
    <w:p>
      <w:r>
        <w:rPr>
          <w:rFonts w:ascii="宋体" w:hAnsi="宋体"/>
          <w:b w:val="0"/>
          <w:sz w:val="21"/>
        </w:rPr>
        <w:t>[0053] 经验闭环在校验后执行。系统将通过校验的故障分析、维修处置、标准引用、人工复核意见和审计记录组织为ExperienceEntry，字段包括experience_id、title、aircraft_type、task_type、applicable_conditions、content、evidence_ids、standard_refs、confidence、review_status、created_by和usage_count。经验条目先进入临时经验库，经工程人员审核后可提升为永久经验。后续遇到相同机型、相同系统、相似故障或相同标准条款时，系统把匹配经验作为上下文注入，但经验只作为辅助约束，不替代标准条款和原文证据。</w:t>
      </w:r>
    </w:p>
    <w:p>
      <w:r>
        <w:rPr>
          <w:rFonts w:ascii="宋体" w:hAnsi="宋体"/>
          <w:b w:val="0"/>
          <w:sz w:val="21"/>
        </w:rPr>
        <w:t>[0054] 本实施例的输出包括正式知识图谱、候选对象池、冲突记录、标准引用清单、经验条目、证据包和审计日志。若解析失败，系统输出parse_failed状态；若标准缺失，输出standard_gap状态；若模型不可用，系统切换至规则抽取和保守候选生成；若人工复核未完成，对象保持candidate状态，不进入正式故障树或最终答案。</w:t>
      </w:r>
    </w:p>
    <w:p>
      <w:r>
        <w:rPr>
          <w:rFonts w:ascii="宋体" w:hAnsi="宋体"/>
          <w:b/>
          <w:sz w:val="21"/>
        </w:rPr>
        <w:t>实施例3：围绕三份航空维修PDF的故障知识图谱、问答和复核输出</w:t>
      </w:r>
    </w:p>
    <w:p>
      <w:r>
        <w:rPr>
          <w:rFonts w:ascii="宋体" w:hAnsi="宋体"/>
          <w:b w:val="0"/>
          <w:sz w:val="21"/>
        </w:rPr>
        <w:t>[0055] 本实施例以三份实际航空维修资料为输入，说明从PDF资料到故障知识图谱、故障树、因果树、跨文档证据包和维修问答的完整实施过程。输入资料包括《737典型故障说明R1（飞行版）.pdf》《M2-航空器维修（第一次修订）R1版2025年4月7日.pdf》和《航空器维修基础知识和实作培训规范-正式版.pdf》。三份资料分别提供故障案例、维修管理和培训实作规范，系统将其作为同一航空维修知识域的不同证据源处理。</w:t>
      </w:r>
    </w:p>
    <w:p>
      <w:r>
        <w:rPr>
          <w:rFonts w:ascii="宋体" w:hAnsi="宋体"/>
          <w:b w:val="0"/>
          <w:sz w:val="21"/>
        </w:rPr>
        <w:t>[0056] 对《737典型故障说明R1（飞行版）.pdf》，系统执行以下步骤：S301，解析故障目录和故障详情页，识别PACK OFF、BLEED OFF、DUAL BLEED OFF、发动机滑油、飞行操纵和起飞构型等故障主题；S302，为每个故障主题建立Episode对象；S303，在Episode下建立故障现象、运行条件、可能原因、排故动作、排除原因、维修建议和预防提示等Facet；S304，把每个Facet中的具体表述转化为FacetPoint并关联EntityRecord；S305，依据触发词和章节语义建立symptom_of、caused_by、requires_check、excluded_cause和maintenance_action等关系。</w:t>
      </w:r>
    </w:p>
    <w:p>
      <w:r>
        <w:rPr>
          <w:rFonts w:ascii="宋体" w:hAnsi="宋体"/>
          <w:b w:val="0"/>
          <w:sz w:val="21"/>
        </w:rPr>
        <w:t>[0057] Episode对象至少包括episode_id、aircraft_type、fault_topic、source_document、start_page、end_page、facets、primary_symptom、main_system和review_status字段。Facet对象至少包括facet_id、episode_id、facet_type、facet_points和evidence_ids字段，其中facet_type可取symptom、condition、possible_cause、excluded_cause、maintenance_action、standard_reference、training_tip等。FacetPoint对象至少包括point_id、facet_id、text、entity_ids、polarity、modality和source_span字段，modality用于区分confirmed、possible、candidate和excluded。</w:t>
      </w:r>
    </w:p>
    <w:p>
      <w:r>
        <w:rPr>
          <w:rFonts w:ascii="宋体" w:hAnsi="宋体"/>
          <w:b w:val="0"/>
          <w:sz w:val="21"/>
        </w:rPr>
        <w:t>[0058] 以PACK OFF为例，系统把“PACK OFF灯亮”“引气压力异常”“空调组件工作异常”“查阅MEL”“完成维修记录”分别抽取为故障现象、失效状态、部件状态、标准条款和维修动作实体。若同一段落同时出现“压力低”和“组件关断”，系统不直接将二者互为因果，而是检查上下文是否存在“导致、引起、由于、检查、排除”等触发词，并结合MEL或维修程序引用确定关系方向。最终输出的PACK OFF子图至少包含故障现象节点、引气系统节点、空调组件节点、MEL条目节点、维修动作节点和培训提示节点。</w:t>
      </w:r>
    </w:p>
    <w:p>
      <w:r>
        <w:rPr>
          <w:rFonts w:ascii="宋体" w:hAnsi="宋体"/>
          <w:b w:val="0"/>
          <w:sz w:val="21"/>
        </w:rPr>
        <w:t>[0059] 对BLEED OFF和DUAL BLEED OFF类故障，系统优先识别引气系统、发动机引气、APU引气、活门状态、驾驶舱指示、操作条件和放行限制。若资料中同时出现“现象”和“操作条件”，系统将操作条件作为condition节点，不将其误判为原因；若资料中出现“排除某原因”或“检查正常”，系统将该对象标记为excluded_cause，并在故障树中用排除标记展示，而不作为OR门下的基本事件。</w:t>
      </w:r>
    </w:p>
    <w:p>
      <w:r>
        <w:rPr>
          <w:rFonts w:ascii="宋体" w:hAnsi="宋体"/>
          <w:b w:val="0"/>
          <w:sz w:val="21"/>
        </w:rPr>
        <w:t>[0060] 对发动机滑油类故障，系统优先抽取滑油压力、滑油温度、滑油量、传感器、指示异常、检查动作和维修记录；对飞行操纵和起飞构型类故障，系统优先抽取构型状态、警告状态、飞控部件、操作程序、安全提示和培训要求。不同故障类型对应不同实体模板，但均使用同一EntityRecord和RelationRecord结构，保证后续检索、问答和审计统一。</w:t>
      </w:r>
    </w:p>
    <w:p>
      <w:r>
        <w:rPr>
          <w:rFonts w:ascii="宋体" w:hAnsi="宋体"/>
          <w:b w:val="0"/>
          <w:sz w:val="21"/>
        </w:rPr>
        <w:t>[0061] 对《M2-航空器维修（第一次修订）R1版2025年4月7日.pdf》，系统重点抽取维修作风、人为因素、维修记录、放行要求、工具管理、工卡执行和诚信管理等实体。维修文件中的record_requirement、human_factor和procedure_requirement与故障说明中的maintenance_action关联。例如，若PACK OFF处置需要记录维修动作，系统把该维修动作与M2文件中的维修记录要求建立requires_record关系；若BLEED OFF问题涉及交接和复核，系统把相关故障链路与人为因素、交接复核要求建立risk_control关系。</w:t>
      </w:r>
    </w:p>
    <w:p>
      <w:r>
        <w:rPr>
          <w:rFonts w:ascii="宋体" w:hAnsi="宋体"/>
          <w:b w:val="0"/>
          <w:sz w:val="21"/>
        </w:rPr>
        <w:t>[0062] 对《航空器维修基础知识和实作培训规范-正式版.pdf》，系统重点抽取培训科目、实作步骤、考核要点、安全注意事项和MEL查阅训练要求。培训规范中的training_item和assessment_requirement与故障案例中的故障主题和维修动作关联。例如，MEL查阅训练可与PACK OFF和BLEED OFF故障案例关联，工具使用和工卡执行训练可与维修动作节点关联，安全注意事项可与飞行操纵或起飞构型风险节点关联。</w:t>
      </w:r>
    </w:p>
    <w:p>
      <w:r>
        <w:rPr>
          <w:rFonts w:ascii="宋体" w:hAnsi="宋体"/>
          <w:b w:val="0"/>
          <w:sz w:val="21"/>
        </w:rPr>
        <w:t>[0063] 跨文档关联分为共指消解、标准桥接和图结构确认三步。共指消解统一“空调组件”“PACK组件”“组件关断”等近义表达；标准桥接把MEL条目、维修记录要求和培训规范条款连接到相同或相关的标准对象；图结构确认检查两个实体是否共享部件、系统、动作或标准引用。只有同时满足名称相似、类型兼容和证据支持的关联才写入正式图谱，其他关联保留为候选关系。</w:t>
      </w:r>
    </w:p>
    <w:p>
      <w:r>
        <w:rPr>
          <w:rFonts w:ascii="宋体" w:hAnsi="宋体"/>
          <w:b w:val="0"/>
          <w:sz w:val="21"/>
        </w:rPr>
        <w:t>[0064] 共指消解的判定条件为：normalized_name相似度超过第一阈值，entity_type相同或父类型兼容，至少共享一个系统、部件、标准编号、故障主题或维修动作。若名称相似但类型冲突，例如一个为部件、一个为培训科目，则不合并，只建立related_to候选关系。若两个实体来源于不同文档但共享同一MEL条目和同一故障主题，则提高same_as候选分数。</w:t>
      </w:r>
    </w:p>
    <w:p>
      <w:r>
        <w:rPr>
          <w:rFonts w:ascii="宋体" w:hAnsi="宋体"/>
          <w:b w:val="0"/>
          <w:sz w:val="21"/>
        </w:rPr>
        <w:t>[0065] 故障树生成以顶事件为入口。系统接收顶事件名称，例如“引气系统压力低”或“PACK OFF灯亮”，在图谱中定位对应failure_state节点；沿caused_by、failure_leads_to和requires_check关系向上展开原因节点；将可直接检查或可维修的部件、传感器、活门、管路和控制逻辑标记为基本事件；根据多个原因是否独立、共同作用或排除关系推断OR门、AND门或NOT标记。每个故障树节点均保留node_type、source_span、evidence_ids和review_status字段。</w:t>
      </w:r>
    </w:p>
    <w:p>
      <w:r>
        <w:rPr>
          <w:rFonts w:ascii="宋体" w:hAnsi="宋体"/>
          <w:b w:val="0"/>
          <w:sz w:val="21"/>
        </w:rPr>
        <w:t>[0066] 因果树生成以时间和证据强度为主线，从故障现象开始，沿confirmed优先、possible次之、candidate再次之的顺序组织因果链。若某一关系被737故障说明和M2维修文件同时支持，则提高其显示强度；若培训规范只提供操作提示而不支持因果判断，则作为training_tip挂接，不进入因果主链。由此可避免把培训要求误当作故障原因，也可避免把维修动作误当作故障现象。</w:t>
      </w:r>
    </w:p>
    <w:p>
      <w:r>
        <w:rPr>
          <w:rFonts w:ascii="宋体" w:hAnsi="宋体"/>
          <w:b w:val="0"/>
          <w:sz w:val="21"/>
        </w:rPr>
        <w:t>[0067] 用户问答时，系统首先创建QueryRecord，字段包括query_id、user_id、query_text、query_type、aircraft_type、priority、created_time、route、status和audit_id。若问题包含明确故障码、标准编号、部件名或MEL条目，则优先使用基线混合检索路径；若问题包含“为什么、如何排故、影响哪些、关联哪些标准”等多步推理表达，则使用Agentic多步路径；若问题要求综合三份资料或列出所有证据，则使用递归检索路径；若高级路径未启用或模型不可用，则降级到基线混合检索路径。</w:t>
      </w:r>
    </w:p>
    <w:p>
      <w:r>
        <w:rPr>
          <w:rFonts w:ascii="宋体" w:hAnsi="宋体"/>
          <w:b w:val="0"/>
          <w:sz w:val="21"/>
        </w:rPr>
        <w:t>[0068] 基线混合检索路径包括：对问题进行分词、同义词扩展和实体识别；同时检索BM25索引、向量索引和图谱邻接表；将候选证据按来源文档多样性、实体匹配度、标准引用完整性和页码有效性重排；生成EvidenceBundle。Agentic路径在每一步保存step_id、current_query、retrieved_evidence、decision、next_query和stop_reason；递归检索路径通过受控函数对证据分组、过滤和摘要。三种路径的最终答案均必须引用EvidenceBundle中的证据编号。</w:t>
      </w:r>
    </w:p>
    <w:p>
      <w:r>
        <w:rPr>
          <w:rFonts w:ascii="宋体" w:hAnsi="宋体"/>
          <w:b w:val="0"/>
          <w:sz w:val="21"/>
        </w:rPr>
        <w:t>[0069] 证据锚定生成器接收EvidenceBundle后，按固定模板输出答案：第一部分为直接结论或保守判断，第二部分为证据依据，第三部分为维修或培训提示，第四部分为需人工复核事项，第五部分为引用来源。对于PACK OFF问题，答案可列出故障现象、可能原因、检查动作、MEL或维修记录要求和培训提示；对于BLEED OFF问题，答案可强调引气系统状态、维修记录和人为因素；对于发动机滑油或飞行操纵问题，答案必须提示安全复核，不把模型输出作为放行依据。</w:t>
      </w:r>
    </w:p>
    <w:p>
      <w:r>
        <w:rPr>
          <w:rFonts w:ascii="宋体" w:hAnsi="宋体"/>
          <w:b w:val="0"/>
          <w:sz w:val="21"/>
        </w:rPr>
        <w:t>[0070] 图形界面复核包括文档列表、知识树、图谱视图、证据包视图、候选关系队列和审计日志视图。工程人员可查看节点来源页码、关系强度、标准引用和模型置信度；可对候选关系执行确认、驳回、合并、拆分或补充证据；可将复核结论写回经验库。系统对每次人工操作生成AuditRecord，包括操作者、时间、对象、操作前状态、操作后状态和理由。报告输出模块可生成故障分析报告、追溯矩阵、标准引用清单、维修培训提示和审计摘要，报告中的每一条结论均引用EvidenceRecord。</w:t>
      </w:r>
    </w:p>
    <w:p>
      <w:r>
        <w:rPr>
          <w:rFonts w:ascii="宋体" w:hAnsi="宋体"/>
          <w:b w:val="0"/>
          <w:sz w:val="21"/>
        </w:rPr>
        <w:t>[0071] 本实施例的输出对应说明书附图中的图7至图10，并可支撑图11和图12所示评测结果。若某一PDF页解析质量不足或来源证据冲突，系统在证据包中标注需要人工复核，而不是生成确定性维修结论。</w:t>
      </w:r>
    </w:p>
    <w:p>
      <w:r>
        <w:rPr>
          <w:rFonts w:ascii="宋体" w:hAnsi="宋体"/>
          <w:b/>
          <w:sz w:val="21"/>
        </w:rPr>
        <w:t>实施例4：国产计算卡适配和高吞吐token推理部署</w:t>
      </w:r>
    </w:p>
    <w:p>
      <w:r>
        <w:rPr>
          <w:rFonts w:ascii="宋体" w:hAnsi="宋体"/>
          <w:b w:val="0"/>
          <w:sz w:val="21"/>
        </w:rPr>
        <w:t>[0072] 本实施例说明硬件适配层和高吞吐token推理链路的可实施方式。硬件适配层不限定单一厂商或单一开源项目，而是把CPU、GPU、NPU、DCU、MLU及其他异构设备抽象为统一DeviceProfile，并根据设备能力选择模型加载、算子后端、张量精度、内存池、并行方式和回退策略。可选设备包括但不限于昇腾NPU、海光DCU、寒武纪MLU、昆仑芯、摩尔线程计算卡以及通用GPU。</w:t>
      </w:r>
    </w:p>
    <w:p>
      <w:r>
        <w:rPr>
          <w:rFonts w:ascii="宋体" w:hAnsi="宋体"/>
          <w:b w:val="0"/>
          <w:sz w:val="21"/>
        </w:rPr>
        <w:t>[0073] 硬件部署步骤包括：S401，执行设备探测，读取设备数量、驱动版本、算子库版本、可用内存、通信拓扑和健康状态；S402，检查模型格式和后端兼容性，必要时执行格式转换、权重量化或张量并行切分；S403，为嵌入模型、重排序模型和生成模型分别选择后端；S404，创建请求队列、KV cache页池、prefix cache、输出流管理器和审计计数器；S405，发送健康检查请求，确认首token返回、流式输出和日志写入均可用。</w:t>
      </w:r>
    </w:p>
    <w:p>
      <w:r>
        <w:rPr>
          <w:rFonts w:ascii="宋体" w:hAnsi="宋体"/>
          <w:b w:val="0"/>
          <w:sz w:val="21"/>
        </w:rPr>
        <w:t>[0074] 模型加载策略由ModelPlan对象描述，字段包括model_id、model_role、backend、device_ids、precision_mode、quantization_mode、max_model_len、tensor_parallel_size、memory_budget、load_status和fallback_model。model_role可取embedding、rerank、generation或summary。若生成模型无法在目标计算卡上加载，系统可将generation角色回退到较小模型或CPU/GPU后端，同时保留embedding和rerank角色在加速设备上运行。</w:t>
      </w:r>
    </w:p>
    <w:p>
      <w:r>
        <w:rPr>
          <w:rFonts w:ascii="宋体" w:hAnsi="宋体"/>
          <w:b w:val="0"/>
          <w:sz w:val="21"/>
        </w:rPr>
        <w:t>[0075] 高吞吐推理请求被拆分为预填充阶段和逐token解码阶段。预填充阶段处理用户问题、检索证据、标准条款和历史经验上下文；逐token解码阶段连续生成答案。请求队列记录request_id、session_id、prompt_tokens、expected_output_tokens、evidence_size、priority、arrival_time、deadline和safety_level。调度器按输入长度、证据包大小、优先级、安全等级和设备剩余内存组成动态batch；每个解码步结束后，已完成请求释放缓存，新请求可加入批次，形成连续批处理。</w:t>
      </w:r>
    </w:p>
    <w:p>
      <w:r>
        <w:rPr>
          <w:rFonts w:ascii="宋体" w:hAnsi="宋体"/>
          <w:b w:val="0"/>
          <w:sz w:val="21"/>
        </w:rPr>
        <w:t>[0076] 动态batch的组织规则为：若多个请求的prompt_tokens差异小于第一阈值且safety_level相同，则优先合并；若请求共享同一故障主题、同一MEL条目或同一标准条款前缀，则优先合并以提高prefix cache命中率；若某请求涉及安全评估、DAL建议或放行限制，则降低其最大batch大小并启用更严格引用检查；若某请求超过deadline，则提升优先级或单独解码。调度器每轮输出active_batch、waiting_queue、finished_requests和evicted_cache_pages。</w:t>
      </w:r>
    </w:p>
    <w:p>
      <w:r>
        <w:rPr>
          <w:rFonts w:ascii="宋体" w:hAnsi="宋体"/>
          <w:b w:val="0"/>
          <w:sz w:val="21"/>
        </w:rPr>
        <w:t>[0077] 分页KV cache采用固定大小页块管理每个会话的键值缓存。CachePage对象包括page_id、request_id、layer_id、device_id、token_start、token_end、ref_count、last_access_time和reusable_flag。若多个请求共享相同标准条款、MEL条目、PACK OFF故障背景或培训规范前缀，系统通过prefix cache复用预填充结果，仅对新增问题和新增证据执行计算。缓存淘汰优先级为已结束会话、低优先级会话、可重建前缀、长时间未访问页和候选问答页。</w:t>
      </w:r>
    </w:p>
    <w:p>
      <w:r>
        <w:rPr>
          <w:rFonts w:ascii="宋体" w:hAnsi="宋体"/>
          <w:b w:val="0"/>
          <w:sz w:val="21"/>
        </w:rPr>
        <w:t>[0078] prefix cache的键值可由model_id、standard_refs、fault_topic、aircraft_type、evidence_hash和prompt_template_version组合生成。缓存命中后，系统仍检查证据版本和标准版本是否一致；若源PDF重新导入、标准条款版本变化或提示词模板变化，则缓存失效并重新预填充。该机制避免旧证据污染新答案。</w:t>
      </w:r>
    </w:p>
    <w:p>
      <w:r>
        <w:rPr>
          <w:rFonts w:ascii="宋体" w:hAnsi="宋体"/>
          <w:b w:val="0"/>
          <w:sz w:val="21"/>
        </w:rPr>
        <w:t>[0079] 量化和混合精度策略按任务风险和硬件能力选择。培训问答、一般标准检索和资料导航可采用较低比特量化或混合精度；涉及安全评估、DAL建议、放行限制或复杂故障诊断的问题可采用较高精度、较小batch和更严格证据引用。若设备内存不足，系统依次尝试降低batch大小、缩短最大输出长度、启用量化模型、关闭低优先级会话、切换到CPU/GPU或低并发模式，并记录降级原因。</w:t>
      </w:r>
    </w:p>
    <w:p>
      <w:r>
        <w:rPr>
          <w:rFonts w:ascii="宋体" w:hAnsi="宋体"/>
          <w:b w:val="0"/>
          <w:sz w:val="21"/>
        </w:rPr>
        <w:t>[0080] 面向三份航空维修PDF的并发问答过程如下：第一用户提出PACK OFF灯亮排故问题，系统检索737故障说明中的故障条目、M2文件中的维修记录和培训规范中的MEL训练要求；第二用户提出BLEED OFF与人为因素问题，系统检索引气系统、维修作风和交接复核证据；第三用户提出发动机滑油或飞行操纵风险问题，系统检索故障说明、安全提示和培训规范。调度器把三类请求按证据长度和生成长度组成动态batch，在国产计算卡上执行重排序、摘要和答案生成，并向各用户流式返回。</w:t>
      </w:r>
    </w:p>
    <w:p>
      <w:r>
        <w:rPr>
          <w:rFonts w:ascii="宋体" w:hAnsi="宋体"/>
          <w:b w:val="0"/>
          <w:sz w:val="21"/>
        </w:rPr>
        <w:t>[0081] 审计统计包括model_version、hardware_backend、device_id、precision_mode、quantization_mode、batch_size、input_tokens、output_tokens、first_token_latency、total_latency、tokens_per_second、cache_hit_rate、kv_pages_used、fallback_event和evidence_ids。上述统计与用户、问题、证据包和答案摘要绑定，形成可追溯日志。对于安全相关问题，系统在答案中保留人工复核提示，并将审计日志用于后续性能调优、硬件容量规划和安全复盘。</w:t>
      </w:r>
    </w:p>
    <w:p>
      <w:r>
        <w:rPr>
          <w:rFonts w:ascii="宋体" w:hAnsi="宋体"/>
          <w:b w:val="0"/>
          <w:sz w:val="21"/>
        </w:rPr>
        <w:t>[0082] 异常回退分为四级。一级回退为同设备降级，例如降低batch大小或最大输出长度；二级回退为同类设备切换，例如从一张计算卡切换到另一张可用计算卡；三级回退为异构设备切换，例如从NPU/DCU/MLU切换到GPU或CPU；四级回退为保守模板模式，即不调用生成模型，只根据检索证据输出引用清单和人工复核提示。每次回退均写入AuditRecord，并在用户界面显示当前回答的生成模式。</w:t>
      </w:r>
    </w:p>
    <w:p>
      <w:r>
        <w:rPr>
          <w:rFonts w:ascii="宋体" w:hAnsi="宋体"/>
          <w:b w:val="0"/>
          <w:sz w:val="21"/>
        </w:rPr>
        <w:t>[0083] 本实施例的输出为可运行的国产化高吞吐维修问答服务。该服务可在内网或离线环境中部署；当国产计算卡可用时，生成、重排序和证据摘要可由计算卡加速；当计算卡不可用时，检索、证据包整理和保守模板回答仍可在CPU/GPU或低并发模式下运行。由此，本发明在不同单位软硬件条件下均可保持基本可用，并在有加速设备时提升多用户并发场景下的token吞吐。</w:t>
      </w:r>
    </w:p>
    <w:p>
      <w:pPr/>
      <w:r>
        <w:t>实施例5：可迁移运行包、Prezi式动态图谱、高速批量上传和语音交互</w:t>
      </w:r>
    </w:p>
    <w:p>
      <w:pPr/>
      <w:r>
        <w:t>[0084] 本实施例说明在新计算机上部署并运行前后端一体化知识产权与适航知识图谱系统的可实施方式。项目包至少包括backend或等效后端目录、web或等效前端目录、config.yaml、.env.example、启动脚本、环境检测脚本、打包脚本、data/raw原始资料目录、data/raw/_unzipped压缩包解压目录、knowledge索引目录、audit审计目录和logs日志目录。上述目录可整体复制到新计算机或压缩为迁移包。</w:t>
      </w:r>
    </w:p>
    <w:p>
      <w:pPr/>
      <w:r>
        <w:t>[0085] 首次启动时，环境检测脚本执行以下步骤：S501，检查Python、Node或等效运行时是否存在并满足版本要求；S502，检查后端依赖、前端静态资源和启动脚本是否完整；S503，检测默认端口是否被占用，若被占用则选择备用端口或提示用户修改配置；S504，检查data、knowledge、audit和logs目录的读写权限；S505，读取.env和config.yaml，判断API Key、模型服务地址、向量化模式、上传阈值和并发数是否已配置；S506，调用健康检查接口验证后端、模型服务、检索索引和图谱接口是否可用；S507，输出通过项、警告项、失败项和修复建议。</w:t>
      </w:r>
    </w:p>
    <w:p>
      <w:pPr/>
      <w:r>
        <w:t>[0086] API Key配置采用外部化策略。在新计算机上，用户从.env.example复制形成.env，填入新的模型服务密钥、OpenAI兼容接口地址、本地模型地址或内网服务地址。后端启动时只读取环境变量和配置文件中的值，不在前端页面、日志、审计报告或源代码中输出明文密钥。若密钥缺失，系统仍可进入本地离线模式，提供文档管理、BM25检索、本地向量检索、知识树浏览和图谱浏览，并把生成式问答标记为未配置或降级状态。</w:t>
      </w:r>
    </w:p>
    <w:p>
      <w:pPr/>
      <w:r>
        <w:t>[0087] 高速批量上传流程如下：S511，前端把小型文档按数量和总大小阈值合并为批量请求，减少HTTP往返次数；S512，超过阈值的大文件采用固定大小分块，多个工作线程并发上传，后端按upload_id和chunk_index重组；S513，ZIP文件先保存原包，再解压到带时间戳的隔离目录，解压时拒绝绝对路径、上级目录跳转、超限文件和非支持类型文件；S514，用户点击取消后，前端AbortController或等效机制终止传输，后端取消任务并清理临时分块；S515，文件落盘完成后返回ingest_job_id，前端转入后台任务进度轮询。</w:t>
      </w:r>
    </w:p>
    <w:p>
      <w:pPr/>
      <w:r>
        <w:t>[0088] 后台摄取任务执行解析、分块、索引和图谱更新。任务状态对象包括job_id、status、total_files、processed_files、failed_files、current_file、started_at、finished_at、warnings和error_message。对PDF、Word、Markdown、文本和表格文件，系统分别调用对应解析器生成DocumentRecord、PageRecord、BlockRecord和ChunkRecord；对重复文件，系统基于文件指纹复用既有记录或创建版本标签；对暂不支持文件，系统保留原始文件但不进入正式知识抽取。</w:t>
      </w:r>
    </w:p>
    <w:p>
      <w:pPr/>
      <w:r>
        <w:t>[0089] 本地快速索引机制用于解决大量文档导入时逐段远程嵌入调用过慢的问题。系统优先建立文件指纹、元数据索引、BM25倒排索引和轻量本地向量索引，使新文档可先参与关键词检索、标题检索和近似语义检索；随后后台按优先级逐步执行远程或本地高精度嵌入计算、图谱关系补全和缓存刷新。当配置项remote_embeddings为false或远程嵌入服务不可达时，系统以本地确定性特征向量作为稠密检索近似实现，并在审计中标记向量来源。</w:t>
      </w:r>
    </w:p>
    <w:p>
      <w:pPr/>
      <w:r>
        <w:t>[0090] Prezi式动态图谱交互流程如下：S521，系统根据知识树层级、节点类型、关系强度和证据来源计算初始布局；S522，对节点标签计算包围盒，执行碰撞检测和标签避让，必要时折叠低强度远端节点；S523，用户滚轮缩放或点击节点时，前端调整SVG viewBox、Canvas变换矩阵或等效视口参数，使焦点节点及其一阶或二阶邻域扩展到主视野；S524，非相关节点降透明显示，相关路径高亮，证据来源和标准条款在侧边详情区展示；S525，用户继续展开节点时，系统按需从后端拉取邻域子图，而不是一次性渲染全部节点。</w:t>
      </w:r>
    </w:p>
    <w:p>
      <w:pPr/>
      <w:r>
        <w:t>[0091] 语音交互流程如下：S531，用户点击语音提问后，前端调用浏览器语音识别、操作系统语音接口或等效语音服务获得文本；S532，文本被发送至问答接口，后端执行查询路由、混合检索、证据锚定生成和审计记录；S533，前端展示答案、证据来源和人工复核提示，同时可调用语音合成朗读答案；S534，用户点击停止朗读、发起新问题、取消上传或关闭页面时，系统中断当前录音、识别、上传、生成或朗读任务，并把中断动作写入任务状态或审计日志。</w:t>
      </w:r>
    </w:p>
    <w:p>
      <w:pPr/>
      <w:r>
        <w:t>[0092] 本实施例的输出为可在新计算机上自动检测、配置、启动和运行的前后端一体化知识图谱系统。该系统在API Key未配置时保持资料管理、快速检索和动态图谱浏览可用；在API Key和模型服务配置完成后启用证据锚定问答和语音讲解；在导入大量文档或ZIP包时先完成本地保存和任务排队，再由后台逐步完成精细解析、索引重建和图谱更新。</w:t>
      </w:r>
    </w:p>
    <w:p>
      <w:pPr/>
      <w:r>
        <w:rPr>
          <w:b/>
        </w:rPr>
        <w:t>实施例6：面向1:1复现的运行目录、配置项、API接口和数据库Schema</w:t>
      </w:r>
    </w:p>
    <w:p>
      <w:pPr/>
      <w:r>
        <w:rPr>
          <w:b w:val="0"/>
        </w:rPr>
        <w:t>[0093] 本实施例给出可按工程文件逐项复现的实现方式。系统根目录包括web前端目录、src/backend后端目录、knowledge/ingestion摄取目录、src/retrieval检索目录、src/generation生成目录、knowledge/chunks.db主索引数据库、knowledge/wiki文档摘要目录、knowledge/sessions会话记忆目录、knowledge/agent_memory规则记忆目录、data/raw原始上传资料目录、runtime临时导出目录、Start-Portable.ps1启动脚本、Setup-NewComputer.ps1环境检测脚本、打包迁移包.ps1迁移包脚本和.env.example密钥模板。</w:t>
      </w:r>
    </w:p>
    <w:p>
      <w:pPr/>
      <w:r>
        <w:rPr>
          <w:b w:val="0"/>
        </w:rPr>
        <w:t>[0094] 配置文件config.yaml采用外置化结构，backend取auto、ollama、openai_compatible或vllm_ascend；api.host和api.port确定服务监听地址，默认127.0.0.1:8010；storage.raw_dir、storage.chunk_db、storage.wiki_dir和storage.session_dir分别确定原始资料、chunk数据库、wiki摘要和会话图谱位置；retrieval.top_k、dense_weight、sparse_weight、rerank_top_n和min_score控制混合检索；ingestion.parse_workers、db_batch_size、write_chunk_json_files和chunk_file_workers控制批量摄取吞吐。</w:t>
      </w:r>
    </w:p>
    <w:p>
      <w:pPr/>
      <w:r>
        <w:rPr>
          <w:b w:val="0"/>
        </w:rPr>
        <w:t>[0095] SQLite主表chunks的字段固定为chunk_id、doc_name、source、chunk_type、text、entities_json、conditions_json、relations_json和metadata_json。chunk_id作为主键；doc_name保存文件名；source保存源路径或源标识；chunk_type可取evidence、rule、section、table或其他领域块类型；text保存可检索文本；entities_json、conditions_json、relations_json和metadata_json均以UTF-8 JSON字符串存储。系统启动时优先从knowledge/chunks.db读取chunk，若数据库为空才回退读取knowledge/chunks/*.json。</w:t>
      </w:r>
    </w:p>
    <w:p>
      <w:pPr/>
      <w:r>
        <w:rPr>
          <w:b w:val="0"/>
        </w:rPr>
        <w:t>[0096] 后端采用HTTP API暴露功能，至少包括/health、/upload、/upload/chunk、/ingest/jobs、/ingest/jobs-batch-status、/api/knowledge/tree、/api/knowledge/graph、/api/query、/api/sessions、/api/session/{session_id}、DELETE /api/session/{session_id}、/api/memory/rules、/api/knowledge/reset和/exports/word-report。前端仅通过这些接口访问知识库，不直接读取数据库文件，保证部署时可用反向代理、端口映射或本地环回地址替换。</w:t>
      </w:r>
    </w:p>
    <w:p>
      <w:pPr/>
      <w:r>
        <w:rPr>
          <w:b w:val="0"/>
        </w:rPr>
        <w:t>[0097] 按1:1复现时，开发者可先创建上述目录，再写入config.yaml和.env，然后执行Start-Portable.ps1启动服务。启动脚本创建虚拟环境或复用现有环境，安装requirements.txt中的依赖，检测Ollama或OpenAI兼容服务，最后启动FastAPI应用并打开/ui/。若Ollama可用，系统使用本地模型；若Ollama不可用但.env配置了API Key，则切换到OpenAI兼容提供者；两者均不可用时进入检索和图谱浏览降级模式。</w:t>
      </w:r>
    </w:p>
    <w:p>
      <w:pPr/>
      <w:r>
        <w:rPr>
          <w:b/>
        </w:rPr>
        <w:t>表1：可复现目录、配置与接口映射</w:t>
      </w:r>
    </w:p>
    <w:tbl>
      <w:tblPr>
        <w:tblStyle w:val="TableGrid"/>
        <w:tblW w:type="auto" w:w="0"/>
        <w:jc w:val="left"/>
        <w:tblLayout w:type="fixed"/>
        <w:tblLook w:firstColumn="1" w:firstRow="1" w:lastColumn="0" w:lastRow="0" w:noHBand="0" w:noVBand="1" w:val="04A0"/>
      </w:tblPr>
      <w:tblGrid>
        <w:gridCol w:w="3288"/>
        <w:gridCol w:w="3288"/>
        <w:gridCol w:w="3288"/>
      </w:tblGrid>
      <w:tr>
        <w:tc>
          <w:tcPr>
            <w:tcW w:type="dxa" w:w="1944"/>
            <w:vAlign w:val="center"/>
          </w:tcPr>
          <w:p>
            <w:r>
              <w:rPr>
                <w:b/>
              </w:rPr>
              <w:t>对象</w:t>
            </w:r>
          </w:p>
        </w:tc>
        <w:tc>
          <w:tcPr>
            <w:tcW w:type="dxa" w:w="3240"/>
            <w:vAlign w:val="center"/>
          </w:tcPr>
          <w:p>
            <w:r>
              <w:rPr>
                <w:b/>
              </w:rPr>
              <w:t>工程位置或字段</w:t>
            </w:r>
          </w:p>
        </w:tc>
        <w:tc>
          <w:tcPr>
            <w:tcW w:type="dxa" w:w="4680"/>
            <w:vAlign w:val="center"/>
          </w:tcPr>
          <w:p>
            <w:r>
              <w:rPr>
                <w:b/>
              </w:rPr>
              <w:t>复现用途</w:t>
            </w:r>
          </w:p>
        </w:tc>
      </w:tr>
      <w:tr>
        <w:tc>
          <w:tcPr>
            <w:tcW w:type="dxa" w:w="1944"/>
            <w:vAlign w:val="top"/>
          </w:tcPr>
          <w:p>
            <w:r>
              <w:t>前端入口</w:t>
            </w:r>
          </w:p>
        </w:tc>
        <w:tc>
          <w:tcPr>
            <w:tcW w:type="dxa" w:w="3240"/>
            <w:vAlign w:val="top"/>
          </w:tcPr>
          <w:p>
            <w:r>
              <w:t>web/index.html、web/app.js、web/style.css</w:t>
            </w:r>
          </w:p>
        </w:tc>
        <w:tc>
          <w:tcPr>
            <w:tcW w:type="dxa" w:w="4680"/>
            <w:vAlign w:val="top"/>
          </w:tcPr>
          <w:p>
            <w:r>
              <w:t>提供上传、问答、历史对话、知识树、图谱、语音和导出界面。</w:t>
            </w:r>
          </w:p>
        </w:tc>
      </w:tr>
      <w:tr>
        <w:tc>
          <w:tcPr>
            <w:tcW w:type="dxa" w:w="1944"/>
            <w:vAlign w:val="top"/>
          </w:tcPr>
          <w:p>
            <w:r>
              <w:t>后端入口</w:t>
            </w:r>
          </w:p>
        </w:tc>
        <w:tc>
          <w:tcPr>
            <w:tcW w:type="dxa" w:w="3240"/>
            <w:vAlign w:val="top"/>
          </w:tcPr>
          <w:p>
            <w:r>
              <w:t>src/backend/app.py:create_app()</w:t>
            </w:r>
          </w:p>
        </w:tc>
        <w:tc>
          <w:tcPr>
            <w:tcW w:type="dxa" w:w="4680"/>
            <w:vAlign w:val="top"/>
          </w:tcPr>
          <w:p>
            <w:r>
              <w:t>注册FastAPI路由、静态UI、上传、摄取、问答、会话和导出接口。</w:t>
            </w:r>
          </w:p>
        </w:tc>
      </w:tr>
      <w:tr>
        <w:tc>
          <w:tcPr>
            <w:tcW w:type="dxa" w:w="1944"/>
            <w:vAlign w:val="top"/>
          </w:tcPr>
          <w:p>
            <w:r>
              <w:t>业务服务</w:t>
            </w:r>
          </w:p>
        </w:tc>
        <w:tc>
          <w:tcPr>
            <w:tcW w:type="dxa" w:w="3240"/>
            <w:vAlign w:val="top"/>
          </w:tcPr>
          <w:p>
            <w:r>
              <w:t>src/backend/service.py:KnowledgeBaseService</w:t>
            </w:r>
          </w:p>
        </w:tc>
        <w:tc>
          <w:tcPr>
            <w:tcW w:type="dxa" w:w="4680"/>
            <w:vAlign w:val="top"/>
          </w:tcPr>
          <w:p>
            <w:r>
              <w:t>组织摄取、索引刷新、检索、生成、会话图谱、规则记忆和重置流程。</w:t>
            </w:r>
          </w:p>
        </w:tc>
      </w:tr>
      <w:tr>
        <w:tc>
          <w:tcPr>
            <w:tcW w:type="dxa" w:w="1944"/>
            <w:vAlign w:val="top"/>
          </w:tcPr>
          <w:p>
            <w:r>
              <w:t>摄取管线</w:t>
            </w:r>
          </w:p>
        </w:tc>
        <w:tc>
          <w:tcPr>
            <w:tcW w:type="dxa" w:w="3240"/>
            <w:vAlign w:val="top"/>
          </w:tcPr>
          <w:p>
            <w:r>
              <w:t>knowledge/ingestion/ingest_pipeline.py:IngestPipeline</w:t>
            </w:r>
          </w:p>
        </w:tc>
        <w:tc>
          <w:tcPr>
            <w:tcW w:type="dxa" w:w="4680"/>
            <w:vAlign w:val="top"/>
          </w:tcPr>
          <w:p>
            <w:r>
              <w:t>解析文档、分块、抽取实体关系、批量写入SQLite和生成wiki摘要。</w:t>
            </w:r>
          </w:p>
        </w:tc>
      </w:tr>
      <w:tr>
        <w:tc>
          <w:tcPr>
            <w:tcW w:type="dxa" w:w="1944"/>
            <w:vAlign w:val="top"/>
          </w:tcPr>
          <w:p>
            <w:r>
              <w:t>主索引库</w:t>
            </w:r>
          </w:p>
        </w:tc>
        <w:tc>
          <w:tcPr>
            <w:tcW w:type="dxa" w:w="3240"/>
            <w:vAlign w:val="top"/>
          </w:tcPr>
          <w:p>
            <w:r>
              <w:t>knowledge/chunks.db / chunks表</w:t>
            </w:r>
          </w:p>
        </w:tc>
        <w:tc>
          <w:tcPr>
            <w:tcW w:type="dxa" w:w="4680"/>
            <w:vAlign w:val="top"/>
          </w:tcPr>
          <w:p>
            <w:r>
              <w:t>保存全部可检索chunk和结构化JSON字段，是迁移后的主要知识库文件。</w:t>
            </w:r>
          </w:p>
        </w:tc>
      </w:tr>
      <w:tr>
        <w:tc>
          <w:tcPr>
            <w:tcW w:type="dxa" w:w="1944"/>
            <w:vAlign w:val="top"/>
          </w:tcPr>
          <w:p>
            <w:r>
              <w:t>会话记忆</w:t>
            </w:r>
          </w:p>
        </w:tc>
        <w:tc>
          <w:tcPr>
            <w:tcW w:type="dxa" w:w="3240"/>
            <w:vAlign w:val="top"/>
          </w:tcPr>
          <w:p>
            <w:r>
              <w:t>knowledge/sessions/{session_id}.json</w:t>
            </w:r>
          </w:p>
        </w:tc>
        <w:tc>
          <w:tcPr>
            <w:tcW w:type="dxa" w:w="4680"/>
            <w:vAlign w:val="top"/>
          </w:tcPr>
          <w:p>
            <w:r>
              <w:t>保存历史对话、长上下文摘要、临时记忆和会话级证据图谱。</w:t>
            </w:r>
          </w:p>
        </w:tc>
      </w:tr>
      <w:tr>
        <w:tc>
          <w:tcPr>
            <w:tcW w:type="dxa" w:w="1944"/>
            <w:vAlign w:val="top"/>
          </w:tcPr>
          <w:p>
            <w:r>
              <w:t>规则记忆</w:t>
            </w:r>
          </w:p>
        </w:tc>
        <w:tc>
          <w:tcPr>
            <w:tcW w:type="dxa" w:w="3240"/>
            <w:vAlign w:val="top"/>
          </w:tcPr>
          <w:p>
            <w:r>
              <w:t>knowledge/agent_memory/gbrain_rules.json</w:t>
            </w:r>
          </w:p>
        </w:tc>
        <w:tc>
          <w:tcPr>
            <w:tcW w:type="dxa" w:w="4680"/>
            <w:vAlign w:val="top"/>
          </w:tcPr>
          <w:p>
            <w:r>
              <w:t>保存融合后的精炼知识规则，供后续问答和报告引用。</w:t>
            </w:r>
          </w:p>
        </w:tc>
      </w:tr>
    </w:tbl>
    <w:p>
      <w:pPr/>
      <w:r>
        <w:rPr>
          <w:b/>
        </w:rPr>
        <w:t>实施例7：高吞吐批量摄取、实时进度提交和问答锁定</w:t>
      </w:r>
    </w:p>
    <w:p>
      <w:pPr/>
      <w:r>
        <w:rPr>
          <w:b w:val="0"/>
        </w:rPr>
        <w:t>[0098] 前端上传模块把文件分为小文件批量上传和大文件分块上传两类。小文件按UPLOAD_BATCH_MAX_FILES和UPLOAD_BATCH_MAX_BYTES合并为FormData批次，减少HTTP请求次数；大文件按CHUNK_BYTES切片，并携带file_id、chunk_index和total_chunks上传到/upload/chunk。所有上传请求默认设置defer_ingest=true，使文件先快速落盘，再由前端统一调用/ingest/jobs创建一个合并后台摄取任务。</w:t>
      </w:r>
    </w:p>
    <w:p>
      <w:pPr/>
      <w:r>
        <w:rPr>
          <w:b w:val="0"/>
        </w:rPr>
        <w:t>[0099] 后端收到/ingest/jobs请求后创建IngestJob对象，初始status为queued，字段包括job_id、total_paths、files_saved、files_extracted、documents_processed、chunks_written、current_file和progress_percent。后台任务进入running状态后，在INGEST_LOCK保护下调用KnowledgeBaseService.ingest_paths。该锁保证同一进程内多个摄取任务不会同时写入chunks.db，从而避免SQLite写冲突。</w:t>
      </w:r>
    </w:p>
    <w:p>
      <w:pPr/>
      <w:r>
        <w:rPr>
          <w:b w:val="0"/>
        </w:rPr>
        <w:t>[0100] IngestPipeline对多个文件使用ThreadPoolExecutor并行执行_parse_path，即解析文档、语义分块和enrich_chunk结构抽取在工作线程中完成；主线程按as_completed顺序接收已完成文档，并将该文档产生的chunks加入db_buffer。若存在progress_callback，系统不等待db_buffer达到db_batch_size，而是在每篇文档完成后立即执行_insert_chunk_rows并提交SQLite事务，使前端轮询/api/knowledge/tree时能够读到已完成文档的最新节点。</w:t>
      </w:r>
    </w:p>
    <w:p>
      <w:pPr/>
      <w:r>
        <w:rPr>
          <w:b w:val="0"/>
        </w:rPr>
        <w:t>[0101] SQLite写入时执行PRAGMA journal_mode=WAL和PRAGMA synchronous=NORMAL，然后使用executemany一次性写入多条chunk记录。运行版默认write_chunk_json_files=false，避免为每个chunk写一个小JSON文件；若为了调试需要观察单个chunk，可把该配置改为true，并可设置chunk_file_workers并发写文件。由此，一百份以上文档的瓶颈从小文件I/O转移为解析和抽取本身。</w:t>
      </w:r>
    </w:p>
    <w:p>
      <w:pPr/>
      <w:r>
        <w:rPr>
          <w:b w:val="0"/>
        </w:rPr>
        <w:t>[0102] 前端waitForIngestJobs每650ms请求/ingest/jobs-batch-status，读取documents_processed、total_paths、chunks_written和current_file，更新上传状态栏，并调用refreshTreeDuringIngest刷新右下方知识树。若activeIngestState.running为true，则chatForm提交被拦截，sendButton显示“等待摄取完成”。拦截提示包含已处理文档数、总文档数、当前文件名和已写入chunk数，防止用户把未完全摄取的知识库误认为最终证据库。</w:t>
      </w:r>
    </w:p>
    <w:p>
      <w:pPr/>
      <w:r>
        <w:rPr>
          <w:b/>
        </w:rPr>
        <w:t>实施例8：动态知识树、动态图谱和问答证据链联动</w:t>
      </w:r>
    </w:p>
    <w:p>
      <w:pPr/>
      <w:r>
        <w:rPr>
          <w:b w:val="0"/>
        </w:rPr>
        <w:t>[0103] 动态知识树接口/api/knowledge/tree从chunks表读取当前知识库，按Document→Topic/Section→Chunk→Entity/Keyword构造树。若metadata_json中存在doc_id、page或section，则优先使用；若不存在，则用文件名、chunk_type、标题行和轻量关键词生成topic。节点统一包含id、type、label、source_type、doc_id、file_name、page、section、chunk_id、score、preview和children字段。</w:t>
      </w:r>
    </w:p>
    <w:p>
      <w:pPr/>
      <w:r>
        <w:rPr>
          <w:b w:val="0"/>
        </w:rPr>
        <w:t>[0104] 动态知识图谱接口/api/knowledge/graph返回nodes和edges，其中document节点连接topic节点，topic节点连接chunk节点，chunk节点连接entity或keyword节点；边类型至少包括contains、mentions、related_to和supports。为了保证前端性能，接口支持limit、doc_id、q和full参数，默认返回可视化友好的裁剪图，full=true时可返回更完整图谱。</w:t>
      </w:r>
    </w:p>
    <w:p>
      <w:pPr/>
      <w:r>
        <w:rPr>
          <w:b w:val="0"/>
        </w:rPr>
        <w:t>[0105] 当前问答接口/api/query返回answer、evidence、answer_claims、evidence_graph和session_evidence_graph。evidence_graph的节点类型包括query、entity、retrieved_chunk、document、section、answer_claim、model_prior、inference和unsupported；边表示mentions、retrieves、supports和follow_up。前端把本轮evidence_graph渲染为Query→Entity→Evidence→Answer Claim的证据流图，同时把session_evidence_graph渲染为完整会话图链。</w:t>
      </w:r>
    </w:p>
    <w:p>
      <w:pPr/>
      <w:r>
        <w:rPr>
          <w:b w:val="0"/>
        </w:rPr>
        <w:t>[0106] 右下方可视化不仅显示知识库树，还通过buildDisplayTreeData叠加临时显示分支：当摄取进行中时加入“实时摄取进行中”分支，显示已完成文档数、当前文件和chunk进度；当问答完成时加入“当前问答分析”分支，将Query、Entities、Evidence和Claims按层级插入树、树状图和图谱。该分支只作为界面分析状态，不写入正式chunks表，避免把用户问题误存为文档证据。</w:t>
      </w:r>
    </w:p>
    <w:p>
      <w:pPr/>
      <w:r>
        <w:rPr>
          <w:b w:val="0"/>
        </w:rPr>
        <w:t>[0107] 图谱渲染使用SVG实现，不依赖大型前端构建系统。节点按root、document、topic、chunk、entity、analysis等类型着色；滚轮缩放通过修改viewBox实现，拖拽平移通过pointer事件更新视口；点击节点设置selectedGraphNodeId并聚焦一阶邻域，非相关节点降低透明度；图谱大画布模式通过expanded类调整高度和视口。标签显示采用chooseGraphLabels，仅显示根、文档、焦点和匹配节点的标签，从而降低重叠。</w:t>
      </w:r>
    </w:p>
    <w:p>
      <w:pPr/>
      <w:r>
        <w:rPr>
          <w:b/>
        </w:rPr>
        <w:t>实施例9：问答生成、证据来源、会话记忆和历史对话管理</w:t>
      </w:r>
    </w:p>
    <w:p>
      <w:pPr/>
      <w:r>
        <w:rPr>
          <w:b w:val="0"/>
        </w:rPr>
        <w:t>[0108] 用户提交问题后，后端首先读取session_id对应的会话文件，调用_session_context_for_prompt生成长上下文摘要和当前对话临时记忆，再调用_contextual_retrieval_query把当前问题、摘要、临时记忆和最近三轮问题合成为检索查询。该检索查询用于召回证据，但最终答案仍必须优先由retrieved chunks支持。</w:t>
      </w:r>
    </w:p>
    <w:p>
      <w:pPr/>
      <w:r>
        <w:rPr>
          <w:b w:val="0"/>
        </w:rPr>
        <w:t>[0109] 检索流程优先执行BM25稀疏检索、本地确定性向量或远程嵌入检索、加权融合和启发式重排，形成候选证据集合。EvidenceGroundedGenerator在生成提示词中注入会话上下文、证据链和“不在正文插入[E1]等证据编号”的约束；前端cleanAnswerTextForDisplay再次清洗[E1]、source id、chunk id和score等调试性引用，保证正文自然，证据归因只在证据链区域显示。</w:t>
      </w:r>
    </w:p>
    <w:p>
      <w:pPr/>
      <w:r>
        <w:rPr>
          <w:b w:val="0"/>
        </w:rPr>
        <w:t>[0110] answer_claims由答案句子拆分和证据重叠匹配形成。若claim由单个或多个文档chunk支持，source_type分别标记为document或inferred；若没有文档证据但属于模型常识，则标记为model_prior；若缺乏可靠支持或风险较高，则标记为unsupported。前端使用蓝色、紫色、绿色、橙色和红色区分document、inferred、web_search、model_prior和unsupported，防止模型知识伪装成文档证据。</w:t>
      </w:r>
    </w:p>
    <w:p>
      <w:pPr/>
      <w:r>
        <w:rPr>
          <w:b w:val="0"/>
        </w:rPr>
        <w:t>[0111] 会话文件保存为knowledge/sessions/{session_id}.json，字段包括session_id、created_at、updated_at、title、summary、temporary_memory、nodes、edges、turns、last_anchor_id和source_types。每次问答调用_append_session_graph，把本轮evidence_graph节点加上query_id前缀后合并到会话图；若存在上一轮last_anchor_id，则增加follow_up边，使连续追问形成一条可展开的推理链。</w:t>
      </w:r>
    </w:p>
    <w:p>
      <w:pPr/>
      <w:r>
        <w:rPr>
          <w:b w:val="0"/>
        </w:rPr>
        <w:t>[0112] _update_session_memory把用户问题和答案摘要压缩为summary_line，并从evidence.entities和document或inferred类型claim中提取关键词生成temporary_memory。_merge_temporary_memory使用关键词交并比合并相似记忆，只保留最多16条临时记忆，避免堆积大量松散规则。历史对话列表由/api/sessions返回，前端单击任意会话卡片调用/api/session/{session_id}载入turns；点击删除按钮调用DELETE /api/session/{session_id}删除本地会话文件。</w:t>
      </w:r>
    </w:p>
    <w:p>
      <w:pPr/>
      <w:r>
        <w:rPr>
          <w:b/>
        </w:rPr>
        <w:t>表2：会话图谱与来源追踪字段</w:t>
      </w:r>
    </w:p>
    <w:tbl>
      <w:tblPr>
        <w:tblStyle w:val="TableGrid"/>
        <w:tblW w:type="auto" w:w="0"/>
        <w:jc w:val="left"/>
        <w:tblLayout w:type="fixed"/>
        <w:tblLook w:firstColumn="1" w:firstRow="1" w:lastColumn="0" w:lastRow="0" w:noHBand="0" w:noVBand="1" w:val="04A0"/>
      </w:tblPr>
      <w:tblGrid>
        <w:gridCol w:w="3288"/>
        <w:gridCol w:w="3288"/>
        <w:gridCol w:w="3288"/>
      </w:tblGrid>
      <w:tr>
        <w:tc>
          <w:tcPr>
            <w:tcW w:type="dxa" w:w="1800"/>
            <w:vAlign w:val="center"/>
          </w:tcPr>
          <w:p>
            <w:r>
              <w:rPr>
                <w:b/>
              </w:rPr>
              <w:t>对象</w:t>
            </w:r>
          </w:p>
        </w:tc>
        <w:tc>
          <w:tcPr>
            <w:tcW w:type="dxa" w:w="3816"/>
            <w:vAlign w:val="center"/>
          </w:tcPr>
          <w:p>
            <w:r>
              <w:rPr>
                <w:b/>
              </w:rPr>
              <w:t>关键字段</w:t>
            </w:r>
          </w:p>
        </w:tc>
        <w:tc>
          <w:tcPr>
            <w:tcW w:type="dxa" w:w="4248"/>
            <w:vAlign w:val="center"/>
          </w:tcPr>
          <w:p>
            <w:r>
              <w:rPr>
                <w:b/>
              </w:rPr>
              <w:t>复现说明</w:t>
            </w:r>
          </w:p>
        </w:tc>
      </w:tr>
      <w:tr>
        <w:tc>
          <w:tcPr>
            <w:tcW w:type="dxa" w:w="1800"/>
            <w:vAlign w:val="top"/>
          </w:tcPr>
          <w:p>
            <w:r>
              <w:t>Session</w:t>
            </w:r>
          </w:p>
        </w:tc>
        <w:tc>
          <w:tcPr>
            <w:tcW w:type="dxa" w:w="3816"/>
            <w:vAlign w:val="top"/>
          </w:tcPr>
          <w:p>
            <w:r>
              <w:t>session_id、summary、temporary_memory、turns、nodes、edges</w:t>
            </w:r>
          </w:p>
        </w:tc>
        <w:tc>
          <w:tcPr>
            <w:tcW w:type="dxa" w:w="4248"/>
            <w:vAlign w:val="top"/>
          </w:tcPr>
          <w:p>
            <w:r>
              <w:t>保存长上下文、临时记忆和完整会话证据链。</w:t>
            </w:r>
          </w:p>
        </w:tc>
      </w:tr>
      <w:tr>
        <w:tc>
          <w:tcPr>
            <w:tcW w:type="dxa" w:w="1800"/>
            <w:vAlign w:val="top"/>
          </w:tcPr>
          <w:p>
            <w:r>
              <w:t>Query Node</w:t>
            </w:r>
          </w:p>
        </w:tc>
        <w:tc>
          <w:tcPr>
            <w:tcW w:type="dxa" w:w="3816"/>
            <w:vAlign w:val="top"/>
          </w:tcPr>
          <w:p>
            <w:r>
              <w:t>id、type=query、detail、query_id</w:t>
            </w:r>
          </w:p>
        </w:tc>
        <w:tc>
          <w:tcPr>
            <w:tcW w:type="dxa" w:w="4248"/>
            <w:vAlign w:val="top"/>
          </w:tcPr>
          <w:p>
            <w:r>
              <w:t>表示用户原问题，是证据链起点。</w:t>
            </w:r>
          </w:p>
        </w:tc>
      </w:tr>
      <w:tr>
        <w:tc>
          <w:tcPr>
            <w:tcW w:type="dxa" w:w="1800"/>
            <w:vAlign w:val="top"/>
          </w:tcPr>
          <w:p>
            <w:r>
              <w:t>Evidence Node</w:t>
            </w:r>
          </w:p>
        </w:tc>
        <w:tc>
          <w:tcPr>
            <w:tcW w:type="dxa" w:w="3816"/>
            <w:vAlign w:val="top"/>
          </w:tcPr>
          <w:p>
            <w:r>
              <w:t>chunk_id、doc_id、file_name、page、raw_text/snippet、score、source_type</w:t>
            </w:r>
          </w:p>
        </w:tc>
        <w:tc>
          <w:tcPr>
            <w:tcW w:type="dxa" w:w="4248"/>
            <w:vAlign w:val="top"/>
          </w:tcPr>
          <w:p>
            <w:r>
              <w:t>必须能回指文档chunk，点击可查看原文片段。</w:t>
            </w:r>
          </w:p>
        </w:tc>
      </w:tr>
      <w:tr>
        <w:tc>
          <w:tcPr>
            <w:tcW w:type="dxa" w:w="1800"/>
            <w:vAlign w:val="top"/>
          </w:tcPr>
          <w:p>
            <w:r>
              <w:t>Answer Claim</w:t>
            </w:r>
          </w:p>
        </w:tc>
        <w:tc>
          <w:tcPr>
            <w:tcW w:type="dxa" w:w="3816"/>
            <w:vAlign w:val="top"/>
          </w:tcPr>
          <w:p>
            <w:r>
              <w:t>text、source_type、supporting_evidence_ids、confidence</w:t>
            </w:r>
          </w:p>
        </w:tc>
        <w:tc>
          <w:tcPr>
            <w:tcW w:type="dxa" w:w="4248"/>
            <w:vAlign w:val="top"/>
          </w:tcPr>
          <w:p>
            <w:r>
              <w:t>每个结论都有来源类型和支持证据集合。</w:t>
            </w:r>
          </w:p>
        </w:tc>
      </w:tr>
      <w:tr>
        <w:tc>
          <w:tcPr>
            <w:tcW w:type="dxa" w:w="1800"/>
            <w:vAlign w:val="top"/>
          </w:tcPr>
          <w:p>
            <w:r>
              <w:t>Rule Memory</w:t>
            </w:r>
          </w:p>
        </w:tc>
        <w:tc>
          <w:tcPr>
            <w:tcW w:type="dxa" w:w="3816"/>
            <w:vAlign w:val="top"/>
          </w:tcPr>
          <w:p>
            <w:r>
              <w:t>rule_id、text、source_type、support_count、quality_score</w:t>
            </w:r>
          </w:p>
        </w:tc>
        <w:tc>
          <w:tcPr>
            <w:tcW w:type="dxa" w:w="4248"/>
            <w:vAlign w:val="top"/>
          </w:tcPr>
          <w:p>
            <w:r>
              <w:t>只沉淀document、inferred或web_search来源的精炼规则。</w:t>
            </w:r>
          </w:p>
        </w:tc>
      </w:tr>
    </w:tbl>
    <w:p>
      <w:pPr/>
      <w:r>
        <w:rPr>
          <w:b/>
        </w:rPr>
        <w:t>实施例10：前端交互状态、语音讲解和导出能力的1:1复现</w:t>
      </w:r>
    </w:p>
    <w:p>
      <w:pPr/>
      <w:r>
        <w:rPr>
          <w:b w:val="0"/>
        </w:rPr>
        <w:t>[0113] 前端页面由左侧历史对话栏、中间回答和证据链区域、右侧上传和动态知识树区域构成。核心状态变量包括currentSessionId、activeIngestState、activeAnalysisTreeNode、evidenceGraphStore、treeData、treeViewMode、graphViewBox、isGeneratingAnswer和speechRate。开发者按照这些状态变量实现相同事件流，即可复现对话载入、问答锁定、实时图谱刷新和语音控制。</w:t>
      </w:r>
    </w:p>
    <w:p>
      <w:pPr/>
      <w:r>
        <w:rPr>
          <w:b w:val="0"/>
        </w:rPr>
        <w:t>[0114] 上传事件流为：dropzone或fileInput触发uploadFiles；uploadFiles创建AbortController，调用uploadBatch或uploadChunked保存文件；collectDeferredIngest收集ingest_paths；createIngestJob启动后台任务；waitForIngestJobs轮询状态并刷新树图；任务完成后播放提示音、显示3秒toast、调用loadTree和loadRuleMemory。用户点击中断上传时，cancelActiveUpload触发AbortController，并调用/upload/chunk/cancel清理未完成分块。</w:t>
      </w:r>
    </w:p>
    <w:p>
      <w:pPr/>
      <w:r>
        <w:rPr>
          <w:b w:val="0"/>
        </w:rPr>
        <w:t>[0115] 问答事件流为：chatForm.submit先检查activeIngestState.running，若为true则显示等待摄取完成；否则发送/api/query；收到结果后设置currentAnswerText，调用renderAssistantResponse渲染正文、provenance提示、证据流图和证据列表；调用buildAnalysisTreeNode生成当前问答分析分支；再调用renderTree刷新右侧树、图谱或树状图。</w:t>
      </w:r>
    </w:p>
    <w:p>
      <w:pPr/>
      <w:r>
        <w:rPr>
          <w:b w:val="0"/>
        </w:rPr>
        <w:t>[0116] 语音模块读取浏览器SpeechRecognition或等效语音服务生成文本查询；朗读模块只从[data-answer-main]或currentAnswerText读取专业回答正文，调用cleanAnswerTextForSpeech移除证据链、文件名、score、chunk编号和UI文字；speechRateInput控制SpeechSynthesisUtterance.rate，用户点击停止、切换问题或取消上传时调用speechSynthesis.cancel中断朗读。</w:t>
      </w:r>
    </w:p>
    <w:p>
      <w:pPr/>
      <w:r>
        <w:rPr>
          <w:b w:val="0"/>
        </w:rPr>
        <w:t>[0117] 导出能力包括SVG图谱导出、HTML动态图谱导出、PNG高清图谱导出和Word报告导出。后端RowboatCapabilityAdapter或等效能力适配层读取当前动态树，调用render_knowledge_graph_svg、render_knowledge_graph_html、render_knowledge_graph_png和build_word_report生成文件。Word报告必须包含问题、答案、证据链、图谱快照、来源类型和人工复核提示。</w:t>
      </w:r>
    </w:p>
    <w:p>
      <w:pPr/>
      <w:r>
        <w:rPr>
          <w:b/>
        </w:rPr>
        <w:t>实施例11：新计算机迁移部署和验收复现步骤</w:t>
      </w:r>
    </w:p>
    <w:p>
      <w:pPr/>
      <w:r>
        <w:rPr>
          <w:b w:val="0"/>
        </w:rPr>
        <w:t>[0118] 迁移包生成时，打包脚本把项目复制到临时stage目录，排除.env、.env.local、.venv、runtime、backups、dist、__pycache__、.pyc、.log和.key；再写入package_manifest.json，说明包名、排除项、首次运行脚本、密钥配置规则、后端选择规则、图谱规则、记忆规则、吞吐规则和重置规则；最后压缩为AeroKB_Portable_Throughput_SessionMemory_YYYYMMDD_HHMMSS.zip。</w:t>
      </w:r>
    </w:p>
    <w:p>
      <w:pPr/>
      <w:r>
        <w:rPr>
          <w:b w:val="0"/>
        </w:rPr>
        <w:t>[0119] 新计算机复现步骤为：S1101，解压迁移包；S1102，双击启动迁移版.bat或执行Start-Portable.ps1；S1103，若.env不存在则由.env.example生成模板；S1104，配置OpenAI兼容API Key或安装Ollama；S1105，访问http://127.0.0.1:8010/health确认status为ok；S1106，访问/ui/确认前端显示在线状态、历史对话栏、上传区和动态知识树。</w:t>
      </w:r>
    </w:p>
    <w:p>
      <w:pPr/>
      <w:r>
        <w:rPr>
          <w:b w:val="0"/>
        </w:rPr>
        <w:t>[0120] 验收步骤为：上传不少于三份PDF、DOCX、TXT、Markdown或ZIP文档；在后台摄取期间确认问答按钮锁定且右下方实时树图显示已处理x/y个文档；摄取完成后提问，确认回答正文无[E1]，证据链区域显示文件名、score、chunk和原文片段；追问第二轮，确认历史对话列表出现会话，单击可载入，删除按钮可删除；切换图谱、树状图和列表模式，确认当前问答分析分支随问题变化。</w:t>
      </w:r>
    </w:p>
    <w:p>
      <w:pPr/>
      <w:r>
        <w:rPr>
          <w:b w:val="0"/>
        </w:rPr>
        <w:t>[0121] 工程测试命令包括：python -m compileall src knowledge tests，用于验证后端和摄取代码语法；node --check web/app.js，用于验证前端语法；python -m pytest tests -q，用于执行回归测试；Invoke-RestMethod http://127.0.0.1:8010/health，用于验证运行状态；迁移包验证需检查zip中不存在.env、.venv、runtime、backups、__pycache__、.pyc、.log和.key。</w:t>
      </w:r>
    </w:p>
    <w:p>
      <w:pPr/>
      <w:r>
        <w:rPr>
          <w:b/>
        </w:rPr>
        <w:t>表3：1:1复现验收清单</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2088"/>
            <w:vAlign w:val="center"/>
          </w:tcPr>
          <w:p>
            <w:r>
              <w:rPr>
                <w:b/>
              </w:rPr>
              <w:t>验收项</w:t>
            </w:r>
          </w:p>
        </w:tc>
        <w:tc>
          <w:tcPr>
            <w:tcW w:type="dxa" w:w="3240"/>
            <w:vAlign w:val="center"/>
          </w:tcPr>
          <w:p>
            <w:r>
              <w:rPr>
                <w:b/>
              </w:rPr>
              <w:t>操作</w:t>
            </w:r>
          </w:p>
        </w:tc>
        <w:tc>
          <w:tcPr>
            <w:tcW w:type="dxa" w:w="4320"/>
            <w:vAlign w:val="center"/>
          </w:tcPr>
          <w:p>
            <w:r>
              <w:rPr>
                <w:b/>
              </w:rPr>
              <w:t>通过标准</w:t>
            </w:r>
          </w:p>
        </w:tc>
      </w:tr>
      <w:tr>
        <w:tc>
          <w:tcPr>
            <w:tcW w:type="dxa" w:w="2088"/>
            <w:vAlign w:val="top"/>
          </w:tcPr>
          <w:p>
            <w:r>
              <w:t>环境启动</w:t>
            </w:r>
          </w:p>
        </w:tc>
        <w:tc>
          <w:tcPr>
            <w:tcW w:type="dxa" w:w="3240"/>
            <w:vAlign w:val="top"/>
          </w:tcPr>
          <w:p>
            <w:r>
              <w:t>执行Start-Portable.ps1并访问/health</w:t>
            </w:r>
          </w:p>
        </w:tc>
        <w:tc>
          <w:tcPr>
            <w:tcW w:type="dxa" w:w="4320"/>
            <w:vAlign w:val="top"/>
          </w:tcPr>
          <w:p>
            <w:r>
              <w:t>返回status=ok，显示active_provider和indexed_chunk_count。</w:t>
            </w:r>
          </w:p>
        </w:tc>
      </w:tr>
      <w:tr>
        <w:tc>
          <w:tcPr>
            <w:tcW w:type="dxa" w:w="2088"/>
            <w:vAlign w:val="top"/>
          </w:tcPr>
          <w:p>
            <w:r>
              <w:t>批量摄取</w:t>
            </w:r>
          </w:p>
        </w:tc>
        <w:tc>
          <w:tcPr>
            <w:tcW w:type="dxa" w:w="3240"/>
            <w:vAlign w:val="top"/>
          </w:tcPr>
          <w:p>
            <w:r>
              <w:t>上传多文档或ZIP</w:t>
            </w:r>
          </w:p>
        </w:tc>
        <w:tc>
          <w:tcPr>
            <w:tcW w:type="dxa" w:w="4320"/>
            <w:vAlign w:val="top"/>
          </w:tcPr>
          <w:p>
            <w:r>
              <w:t>状态栏显示处理进度，右下树图按文档完成逐步刷新。</w:t>
            </w:r>
          </w:p>
        </w:tc>
      </w:tr>
      <w:tr>
        <w:tc>
          <w:tcPr>
            <w:tcW w:type="dxa" w:w="2088"/>
            <w:vAlign w:val="top"/>
          </w:tcPr>
          <w:p>
            <w:r>
              <w:t>问答锁定</w:t>
            </w:r>
          </w:p>
        </w:tc>
        <w:tc>
          <w:tcPr>
            <w:tcW w:type="dxa" w:w="3240"/>
            <w:vAlign w:val="top"/>
          </w:tcPr>
          <w:p>
            <w:r>
              <w:t>摄取中尝试提问</w:t>
            </w:r>
          </w:p>
        </w:tc>
        <w:tc>
          <w:tcPr>
            <w:tcW w:type="dxa" w:w="4320"/>
            <w:vAlign w:val="top"/>
          </w:tcPr>
          <w:p>
            <w:r>
              <w:t>按钮显示等待摄取完成，系统提示半成品知识库不可生成最终答案。</w:t>
            </w:r>
          </w:p>
        </w:tc>
      </w:tr>
      <w:tr>
        <w:tc>
          <w:tcPr>
            <w:tcW w:type="dxa" w:w="2088"/>
            <w:vAlign w:val="top"/>
          </w:tcPr>
          <w:p>
            <w:r>
              <w:t>证据链</w:t>
            </w:r>
          </w:p>
        </w:tc>
        <w:tc>
          <w:tcPr>
            <w:tcW w:type="dxa" w:w="3240"/>
            <w:vAlign w:val="top"/>
          </w:tcPr>
          <w:p>
            <w:r>
              <w:t>摄取完成后提问</w:t>
            </w:r>
          </w:p>
        </w:tc>
        <w:tc>
          <w:tcPr>
            <w:tcW w:type="dxa" w:w="4320"/>
            <w:vAlign w:val="top"/>
          </w:tcPr>
          <w:p>
            <w:r>
              <w:t>正文无[E1]，证据图链和列表区域显示证据来源。</w:t>
            </w:r>
          </w:p>
        </w:tc>
      </w:tr>
      <w:tr>
        <w:tc>
          <w:tcPr>
            <w:tcW w:type="dxa" w:w="2088"/>
            <w:vAlign w:val="top"/>
          </w:tcPr>
          <w:p>
            <w:r>
              <w:t>会话记忆</w:t>
            </w:r>
          </w:p>
        </w:tc>
        <w:tc>
          <w:tcPr>
            <w:tcW w:type="dxa" w:w="3240"/>
            <w:vAlign w:val="top"/>
          </w:tcPr>
          <w:p>
            <w:r>
              <w:t>连续追问并切换历史会话</w:t>
            </w:r>
          </w:p>
        </w:tc>
        <w:tc>
          <w:tcPr>
            <w:tcW w:type="dxa" w:w="4320"/>
            <w:vAlign w:val="top"/>
          </w:tcPr>
          <w:p>
            <w:r>
              <w:t>session文件累计turns，左侧卡片可载入和删除。</w:t>
            </w:r>
          </w:p>
        </w:tc>
      </w:tr>
      <w:tr>
        <w:tc>
          <w:tcPr>
            <w:tcW w:type="dxa" w:w="2088"/>
            <w:vAlign w:val="top"/>
          </w:tcPr>
          <w:p>
            <w:r>
              <w:t>迁移安全</w:t>
            </w:r>
          </w:p>
        </w:tc>
        <w:tc>
          <w:tcPr>
            <w:tcW w:type="dxa" w:w="3240"/>
            <w:vAlign w:val="top"/>
          </w:tcPr>
          <w:p>
            <w:r>
              <w:t>检查生成zip</w:t>
            </w:r>
          </w:p>
        </w:tc>
        <w:tc>
          <w:tcPr>
            <w:tcW w:type="dxa" w:w="4320"/>
            <w:vAlign w:val="top"/>
          </w:tcPr>
          <w:p>
            <w:r>
              <w:t>不包含.env、.venv、runtime、backups、__pycache__和密钥文件。</w:t>
            </w:r>
          </w:p>
        </w:tc>
      </w:tr>
    </w:tbl>
    <w:p>
      <w:pPr/>
      <w:r>
        <w:rPr>
          <w:b/>
        </w:rPr>
        <w:t>实施例12：可复现伪代码</w:t>
      </w:r>
    </w:p>
    <w:p>
      <w:pPr/>
      <w:r>
        <w:rPr>
          <w:b w:val="0"/>
        </w:rPr>
        <w:t>[0122] 后台摄取伪代码如下：输入paths；创建summary；以parse_workers建立线程池；每个线程执行parse_document、segment_parsed_document和enrich_chunk；主线程按完成顺序接收(payload, chunks)；若write_chunk_json_files为true则写入chunk JSON；将chunks写入db_buffer；若存在progress_callback或db_buffer长度达到db_batch_size，则执行SQLite executemany并commit；更新documents_processed、chunks_written、current_file；结束后刷新检索索引和规则记忆。</w:t>
      </w:r>
    </w:p>
    <w:p>
      <w:pPr/>
      <w:r>
        <w:rPr>
          <w:b w:val="0"/>
        </w:rPr>
        <w:t>[0123] 问答伪代码如下：输入query和session_id；读取session JSON；生成conversation_context和retrieval_query；执行混合检索得到evidence；调用生成器生成answer；拆分answer_claims并计算source_type；构建当前evidence_graph；把当前图合并到session_evidence_graph；更新summary和temporary_memory；返回answer、evidence、answer_claims、evidence_graph、session_evidence_graph和source_types。</w:t>
      </w:r>
    </w:p>
    <w:p>
      <w:pPr/>
      <w:r>
        <w:rPr>
          <w:b w:val="0"/>
        </w:rPr>
        <w:t>[0124] 前端动态图谱伪代码如下：loadTree获取/api/knowledge/tree；若activeIngestState.running则向treeData.children头部插入实时摄取节点；若activeAnalysisTreeNode存在则插入当前问答分析节点；当treeViewMode为list时递归渲染树，当为map时生成层级树状图，当为graph时生成极坐标/焦点SVG图；点击节点更新selectedGraphNodeId和详情面板，滚轮和拖拽更新viewBox。</w:t>
      </w:r>
    </w:p>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rPr>
          <w:rFonts w:ascii="宋体" w:hAnsi="宋体"/>
          <w:sz w:val="21"/>
        </w:rPr>
        <w:t>（8）硬件适配提升工程部署弹性：通过硬件适配层屏蔽CPU、GPU、NPU、DCU、MLU等异构设备差异，系统可在内网服务器、国产计算卡服务器或普通工作站上按资源条件选择后端，降低对单一厂商或单一硬件环境的依赖。</w:t>
      </w:r>
    </w:p>
    <w:p>
      <w:r>
        <w:rPr>
          <w:rFonts w:ascii="宋体" w:hAnsi="宋体"/>
          <w:sz w:val="21"/>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r>
        <w:rPr>
          <w:rFonts w:ascii="宋体" w:hAnsi="宋体"/>
          <w:sz w:val="21"/>
        </w:rPr>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r>
        <w:rPr>
          <w:rFonts w:ascii="宋体" w:hAnsi="宋体"/>
          <w:sz w:val="21"/>
        </w:rPr>
        <w:t>（11）审计回退增强安全可追溯性：系统记录硬件后端、模型版本、推理参数、检索证据、生成答案、token延迟和吞吐统计；当国产计算卡不可用时可回退至CPU/GPU或低并发模式，避免单点硬件异常导致维修知识服务完全中断。</w:t>
      </w:r>
    </w:p>
    <w:p>
      <w:r>
        <w:br w:type="page"/>
      </w:r>
    </w:p>
    <w:p>
      <w:r>
        <w:t>（12）可迁移部署降低交付成本：通过环境自检、外置配置、启动脚本和统一目录结构，项目复制到新计算机后可快速完成依赖检测、端口检测、目录权限检测和模型服务检测，减少人工排查部署问题的时间。</w:t>
      </w:r>
    </w:p>
    <w:p>
      <w:r>
        <w:t>（13）批量上传和后台摄取改善大量文档导入体验：小文件批量合并、大文件分块并发、ZIP安全解包和后台摄取任务相结合，使一百个以上文档的接收、排队和状态反馈能够快速完成，耗时解析和索引计算在后台继续执行。</w:t>
      </w:r>
    </w:p>
    <w:p>
      <w:r>
        <w:t>（14）Prezi式动态图谱提升知识浏览效率：通过连续缩放、焦点展开、标签避让、低相关节点折叠和路径高亮，降低图谱节点重叠和信息遮挡，使工程人员能够从全局知识树平滑进入局部证据链。</w:t>
      </w:r>
    </w:p>
    <w:p>
      <w:r>
        <w:t>（15）语音交互降低操作门槛：语音提问、语音讲解和任务中断机制使维修培训、资料讲解和会议评审场景中可通过自然语言快速访问证据锚定答案，同时避免过时朗读或未完成上传继续占用资源。</w:t>
      </w:r>
    </w:p>
    <w:p>
      <w:r>
        <w:t>（16）本地快速索引提高离线可用性：在远程嵌入服务不可用、API Key未配置或内网离线部署时，系统仍可通过BM25索引和本地向量索引提供快速检索和图谱浏览，并在服务恢复后补充重建高精度索引。</w:t>
      </w:r>
    </w:p>
    <w:p>
      <w:pPr/>
      <w:r>
        <w:rPr>
          <w:b w:val="0"/>
        </w:rPr>
        <w:t>（17）实时摄取锁定提高结论可靠性：系统在资料尚未全部分析完成时阻止生成最终问答，避免基于局部文档产生误导性证据链；同时按已完成文档实时刷新知识树，既保证进度透明，又保证最终回答建立在完整摄取后的知识库之上。</w:t>
      </w:r>
    </w:p>
    <w:p>
      <w:pPr/>
      <w:r>
        <w:rPr>
          <w:b w:val="0"/>
        </w:rPr>
        <w:t>（18）会话级记忆提升连续追问能力：长上下文摘要、临时记忆和会话证据图谱使系统能够理解“刚才、这些文档、它们、继续分析”等省略表达，并把每轮追问挂接到上一轮Query、Evidence或Claim节点，形成可审计的多轮分析轨迹。</w:t>
      </w:r>
    </w:p>
    <w:p>
      <w:pPr/>
      <w:r>
        <w:rPr>
          <w:b w:val="0"/>
        </w:rPr>
        <w:t>（19）来源类型显式区分降低幻觉风险：document、inferred、web_search、model_prior和unsupported五类来源在后端数据结构和前端颜色中同时标注，禁止把模型常识或无支持内容伪装成文档证据。</w:t>
      </w:r>
    </w:p>
    <w:p>
      <w:pPr>
        <w:pStyle w:val="Heading1"/>
      </w:pPr>
      <w:r>
        <w:t>第六部分：附图说明</w:t>
      </w:r>
    </w:p>
    <w:p>
      <w:pPr>
        <w:pStyle w:val="Heading2"/>
      </w:pPr>
      <w:r>
        <w:t>图1：系统整体架构图，展示资料输入、解析分块、本体抽取、知识图谱、问答审计以及硬件适配层的组成关系。</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t>图14：安全审计与权限管理架构图，展示权限控制、密级策略、证据包、模型版本、推理指标和日志记录机制。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pPr/>
      <w:r>
        <w:t>图16：可迁移部署与环境自检流程图，展示项目包复制、新电脑运行时检测、外部密钥配置、端口检测、目录权限检测和健康检查的流程。</w:t>
      </w:r>
    </w:p>
    <w:p>
      <w:pPr/>
      <w:r>
        <w:t>图17：Prezi式动态知识图谱交互示意图，展示知识树入口、焦点节点、连续缩放视野、局部邻域展开、标签避让和路径高亮效果。</w:t>
      </w:r>
    </w:p>
    <w:p>
      <w:pPr/>
      <w:r>
        <w:t>图18：批量上传、ZIP安全解包与后台摄取流程图，展示批量请求、分块并发、取消上传、原始文件保存、隔离解压、任务排队和后台索引重建。</w:t>
      </w:r>
    </w:p>
    <w:p>
      <w:pPr/>
      <w:r>
        <w:t>图19：语音交互与语音讲解流程图，展示语音识别、文本查询、证据锚定回答、语音合成朗读和任务中断控制。</w:t>
      </w:r>
    </w:p>
    <w:p>
      <w:pPr/>
      <w:r>
        <w:t>图20：本地快速索引与后台重建流程图，展示BM25索引、本地向量索引、远程嵌入可选调用、缓存刷新和降级审计。</w:t>
      </w:r>
    </w:p>
    <w:p>
      <w:r>
        <w:br w:type="page"/>
      </w:r>
    </w:p>
    <w:p>
      <w:pPr/>
      <w:r>
        <w:rPr>
          <w:b w:val="0"/>
        </w:rPr>
        <w:t>图21：高吞吐后台摄取与实时提交流程图，展示批量上传、分块上传、后台任务、按文档提交SQLite、进度轮询和动态树图刷新的关系。</w:t>
      </w:r>
    </w:p>
    <w:p>
      <w:pPr/>
      <w:r>
        <w:rPr>
          <w:b w:val="0"/>
        </w:rPr>
        <w:t>图22：问答锁定与半成品知识库保护流程图，展示摄取running状态、按钮锁定、提示信息、摄取完成和问答解锁的状态转换。</w:t>
      </w:r>
    </w:p>
    <w:p>
      <w:pPr/>
      <w:r>
        <w:rPr>
          <w:b w:val="0"/>
        </w:rPr>
        <w:t>图23：会话级证据链和长上下文记忆结构图，展示session_id、turns、summary、temporary_memory、nodes、edges和follow_up边的组织方式。</w:t>
      </w:r>
    </w:p>
    <w:p>
      <w:pPr/>
      <w:r>
        <w:rPr>
          <w:b w:val="0"/>
        </w:rPr>
        <w:t>图24：当前问答分析分支叠加动态图，展示Query、Entity、Evidence、Claim如何作为临时分支叠加到右下方知识树、树状图和知识图谱。</w:t>
      </w:r>
    </w:p>
    <w:p>
      <w:pPr/>
      <w:r>
        <w:rPr>
          <w:b w:val="0"/>
        </w:rPr>
        <w:t>图25：来源类型provenance着色图，展示document、inferred、web_search、model_prior和unsupported在证据链和节点详情中的区分显示。</w:t>
      </w:r>
    </w:p>
    <w:p>
      <w:pPr/>
      <w:r>
        <w:rPr>
          <w:b w:val="0"/>
        </w:rPr>
        <w:t>图26：迁移包安全检查流程图，展示打包排除.env、.venv、runtime、backups、缓存和密钥文件，以及新电脑启动自检和健康检查过程。</w:t>
      </w:r>
    </w:p>
    <w:p>
      <w:pPr>
        <w:pStyle w:val="Heading1"/>
      </w:pPr>
      <w:r>
        <w:t>第七部分：摘要</w:t>
      </w:r>
    </w:p>
    <w:p>
      <w:pPr>
        <w:spacing w:line="300" w:lineRule="auto" w:after="80"/>
        <w:ind w:firstLine="420"/>
      </w:pPr>
      <w:r>
        <w:t>本发明公开了一种面向民机适航认证的本体约束型知识图谱构建与证据锚定分析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可扩展运行。</w:t>
      </w:r>
    </w:p>
    <w:p>
      <w:pPr>
        <w:spacing w:line="300" w:lineRule="auto" w:after="80"/>
        <w:ind w:firstLine="420"/>
      </w:pPr>
      <w:r>
        <w:t>关键词：工业本体；知识图谱；大语言模型；适航认证；关联强度；标准注入；经验闭环；输出校验；可迁移部署；动态可视化；批量上传；语音交互</w:t>
      </w:r>
    </w:p>
    <w:p>
      <w:r>
        <w:br w:type="page"/>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pPr>
              <w:spacing w:after="0"/>
            </w:pPr>
            <w:r/>
            <w:r>
              <w:rPr>
                <w:rFonts w:ascii="宋体" w:hAnsi="宋体" w:eastAsia="宋体"/>
                <w:b/>
                <w:sz w:val="18"/>
              </w:rPr>
              <w:t>详细实施例</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PDF实施例41、42、46、49</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pPr>
              <w:spacing w:after="0"/>
            </w:pPr>
            <w:r/>
            <w:r>
              <w:rPr>
                <w:rFonts w:ascii="宋体" w:hAnsi="宋体" w:eastAsia="宋体"/>
                <w:b w:val="0"/>
                <w:sz w:val="17"/>
              </w:rPr>
              <w:t>权利要求1、3</w:t>
            </w:r>
          </w:p>
        </w:tc>
        <w:tc>
          <w:tcPr>
            <w:tcW w:type="dxa" w:w="1769"/>
            <w:vAlign w:val="center"/>
          </w:tcPr>
          <w:p>
            <w:pPr>
              <w:spacing w:after="0"/>
            </w:pPr>
            <w:r/>
            <w:r>
              <w:rPr>
                <w:rFonts w:ascii="宋体" w:hAnsi="宋体" w:eastAsia="宋体"/>
                <w:b w:val="0"/>
                <w:sz w:val="17"/>
              </w:rPr>
              <w:t>PDF实施例42-45、49、55</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pPr>
              <w:spacing w:after="0"/>
            </w:pPr>
            <w:r/>
            <w:r>
              <w:rPr>
                <w:rFonts w:ascii="宋体" w:hAnsi="宋体" w:eastAsia="宋体"/>
                <w:b w:val="0"/>
                <w:sz w:val="17"/>
              </w:rPr>
              <w:t>权利要求1、4</w:t>
            </w:r>
          </w:p>
        </w:tc>
        <w:tc>
          <w:tcPr>
            <w:tcW w:type="dxa" w:w="1769"/>
            <w:vAlign w:val="center"/>
          </w:tcPr>
          <w:p>
            <w:pPr>
              <w:spacing w:after="0"/>
            </w:pPr>
            <w:r/>
            <w:r>
              <w:rPr>
                <w:rFonts w:ascii="宋体" w:hAnsi="宋体" w:eastAsia="宋体"/>
                <w:b w:val="0"/>
                <w:sz w:val="17"/>
              </w:rPr>
              <w:t>PDF实施例47、49、50</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pPr>
              <w:spacing w:after="0"/>
            </w:pPr>
            <w:r/>
            <w:r>
              <w:rPr>
                <w:rFonts w:ascii="宋体" w:hAnsi="宋体" w:eastAsia="宋体"/>
                <w:b w:val="0"/>
                <w:sz w:val="17"/>
              </w:rPr>
              <w:t>权利要求1、5</w:t>
            </w:r>
          </w:p>
        </w:tc>
        <w:tc>
          <w:tcPr>
            <w:tcW w:type="dxa" w:w="1769"/>
            <w:vAlign w:val="center"/>
          </w:tcPr>
          <w:p>
            <w:pPr>
              <w:spacing w:after="0"/>
            </w:pPr>
            <w:r/>
            <w:r>
              <w:rPr>
                <w:rFonts w:ascii="宋体" w:hAnsi="宋体" w:eastAsia="宋体"/>
                <w:b w:val="0"/>
                <w:sz w:val="17"/>
              </w:rPr>
              <w:t>PDF实施例42、43、52、53</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pPr>
              <w:spacing w:after="0"/>
            </w:pPr>
            <w:r/>
            <w:r>
              <w:rPr>
                <w:rFonts w:ascii="宋体" w:hAnsi="宋体" w:eastAsia="宋体"/>
                <w:b w:val="0"/>
                <w:sz w:val="17"/>
              </w:rPr>
              <w:t>权利要求1、6</w:t>
            </w:r>
          </w:p>
        </w:tc>
        <w:tc>
          <w:tcPr>
            <w:tcW w:type="dxa" w:w="1769"/>
            <w:vAlign w:val="center"/>
          </w:tcPr>
          <w:p>
            <w:pPr>
              <w:spacing w:after="0"/>
            </w:pPr>
            <w:r/>
            <w:r>
              <w:rPr>
                <w:rFonts w:ascii="宋体" w:hAnsi="宋体" w:eastAsia="宋体"/>
                <w:b w:val="0"/>
                <w:sz w:val="17"/>
              </w:rPr>
              <w:t>PDF实施例55</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pPr>
              <w:spacing w:after="0"/>
            </w:pPr>
            <w:r/>
            <w:r>
              <w:rPr>
                <w:rFonts w:ascii="宋体" w:hAnsi="宋体" w:eastAsia="宋体"/>
                <w:b w:val="0"/>
                <w:sz w:val="17"/>
              </w:rPr>
              <w:t>权利要求1、7、14</w:t>
            </w:r>
          </w:p>
        </w:tc>
        <w:tc>
          <w:tcPr>
            <w:tcW w:type="dxa" w:w="1769"/>
            <w:vAlign w:val="center"/>
          </w:tcPr>
          <w:p>
            <w:pPr>
              <w:spacing w:after="0"/>
            </w:pPr>
            <w:r/>
            <w:r>
              <w:rPr>
                <w:rFonts w:ascii="宋体" w:hAnsi="宋体" w:eastAsia="宋体"/>
                <w:b w:val="0"/>
                <w:sz w:val="17"/>
              </w:rPr>
              <w:t>PDF实施例51、52、53、56</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pPr>
              <w:spacing w:after="0"/>
            </w:pPr>
            <w:r/>
            <w:r>
              <w:rPr>
                <w:rFonts w:ascii="宋体" w:hAnsi="宋体" w:eastAsia="宋体"/>
                <w:b w:val="0"/>
                <w:sz w:val="17"/>
              </w:rPr>
              <w:t>权利要求7</w:t>
            </w:r>
          </w:p>
        </w:tc>
        <w:tc>
          <w:tcPr>
            <w:tcW w:type="dxa" w:w="1769"/>
            <w:vAlign w:val="center"/>
          </w:tcPr>
          <w:p>
            <w:pPr>
              <w:spacing w:after="0"/>
            </w:pPr>
            <w:r/>
            <w:r>
              <w:rPr>
                <w:rFonts w:ascii="宋体" w:hAnsi="宋体" w:eastAsia="宋体"/>
                <w:b w:val="0"/>
                <w:sz w:val="17"/>
              </w:rPr>
              <w:t>PDF实施例52、53</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pPr>
              <w:spacing w:after="0"/>
            </w:pPr>
            <w:r/>
            <w:r>
              <w:rPr>
                <w:rFonts w:ascii="宋体" w:hAnsi="宋体" w:eastAsia="宋体"/>
                <w:b w:val="0"/>
                <w:sz w:val="17"/>
              </w:rPr>
              <w:t>权利要求8、11</w:t>
            </w:r>
          </w:p>
        </w:tc>
        <w:tc>
          <w:tcPr>
            <w:tcW w:type="dxa" w:w="1769"/>
            <w:vAlign w:val="center"/>
          </w:tcPr>
          <w:p>
            <w:pPr>
              <w:spacing w:after="0"/>
            </w:pPr>
            <w:r/>
            <w:r>
              <w:rPr>
                <w:rFonts w:ascii="宋体" w:hAnsi="宋体" w:eastAsia="宋体"/>
                <w:b w:val="0"/>
                <w:sz w:val="17"/>
              </w:rPr>
              <w:t>PDF实施例50、54</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pPr>
              <w:spacing w:after="0"/>
            </w:pPr>
            <w:r/>
            <w:r>
              <w:rPr>
                <w:rFonts w:ascii="宋体" w:hAnsi="宋体" w:eastAsia="宋体"/>
                <w:b w:val="0"/>
                <w:sz w:val="17"/>
              </w:rPr>
              <w:t>权利要求9、12</w:t>
            </w:r>
          </w:p>
        </w:tc>
        <w:tc>
          <w:tcPr>
            <w:tcW w:type="dxa" w:w="1769"/>
            <w:vAlign w:val="center"/>
          </w:tcPr>
          <w:p>
            <w:pPr>
              <w:spacing w:after="0"/>
            </w:pPr>
            <w:r/>
            <w:r>
              <w:rPr>
                <w:rFonts w:ascii="宋体" w:hAnsi="宋体" w:eastAsia="宋体"/>
                <w:b w:val="0"/>
                <w:sz w:val="17"/>
              </w:rPr>
              <w:t>PDF实施例54、项目实施例46-48</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PDF实施例48、56</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pPr>
              <w:spacing w:after="0"/>
            </w:pPr>
            <w:r/>
            <w:r>
              <w:rPr>
                <w:rFonts w:ascii="宋体" w:hAnsi="宋体" w:eastAsia="宋体"/>
                <w:b w:val="0"/>
                <w:sz w:val="17"/>
              </w:rPr>
              <w:t>权利要求13、15、16</w:t>
            </w:r>
          </w:p>
        </w:tc>
        <w:tc>
          <w:tcPr>
            <w:tcW w:type="dxa" w:w="1769"/>
            <w:vAlign w:val="center"/>
          </w:tcPr>
          <w:p>
            <w:pPr>
              <w:spacing w:after="0"/>
            </w:pPr>
            <w:r/>
            <w:r>
              <w:rPr>
                <w:rFonts w:ascii="宋体" w:hAnsi="宋体" w:eastAsia="宋体"/>
                <w:b w:val="0"/>
                <w:sz w:val="17"/>
              </w:rPr>
              <w:t>PDF实施例55、项目实施例50、52</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r>
              <w:t>权利要求12、26、27</w:t>
            </w:r>
          </w:p>
        </w:tc>
        <w:tc>
          <w:tcPr>
            <w:tcW w:type="dxa" w:w="1769"/>
            <w:vAlign w:val="center"/>
          </w:tcPr>
          <w:p>
            <w:pPr>
              <w:spacing w:after="0"/>
            </w:pPr>
            <w:r/>
            <w:r>
              <w:rPr>
                <w:rFonts w:ascii="宋体" w:hAnsi="宋体" w:eastAsia="宋体"/>
                <w:b w:val="0"/>
                <w:sz w:val="17"/>
              </w:rPr>
              <w:t>PDF实施例54、56</w:t>
            </w:r>
          </w:p>
        </w:tc>
        <w:tc>
          <w:tcPr>
            <w:tcW w:type="dxa" w:w="1769"/>
            <w:vAlign w:val="center"/>
          </w:tcPr>
          <w:p>
            <w:r>
              <w:t>图15、图17、图19</w:t>
            </w:r>
          </w:p>
        </w:tc>
        <w:tc>
          <w:tcPr>
            <w:tcW w:type="dxa" w:w="1769"/>
            <w:vAlign w:val="center"/>
          </w:tcPr>
          <w:p>
            <w:r>
              <w:t>web/index.html；web/app.js；web/style.css；人工复核</w:t>
            </w:r>
          </w:p>
        </w:tc>
      </w:tr>
      <w:tr>
        <w:tc>
          <w:tcPr>
            <w:tcW w:type="dxa" w:w="1769"/>
          </w:tcPr>
          <w:p>
            <w:r>
              <w:t>可迁移部署与环境自检</w:t>
            </w:r>
          </w:p>
        </w:tc>
        <w:tc>
          <w:tcPr>
            <w:tcW w:type="dxa" w:w="1769"/>
          </w:tcPr>
          <w:p>
            <w:r>
              <w:t>权利要求24</w:t>
            </w:r>
          </w:p>
        </w:tc>
        <w:tc>
          <w:tcPr>
            <w:tcW w:type="dxa" w:w="1769"/>
          </w:tcPr>
          <w:p>
            <w:r>
              <w:t>实施例5[0084]-[0086]</w:t>
            </w:r>
          </w:p>
        </w:tc>
        <w:tc>
          <w:tcPr>
            <w:tcW w:type="dxa" w:w="1769"/>
          </w:tcPr>
          <w:p>
            <w:r>
              <w:t>图16</w:t>
            </w:r>
          </w:p>
        </w:tc>
        <w:tc>
          <w:tcPr>
            <w:tcW w:type="dxa" w:w="1769"/>
          </w:tcPr>
          <w:p>
            <w:r>
              <w:t>Setup-NewComputer.ps1；Start-Portable.ps1；config.yaml；.env.example</w:t>
            </w:r>
          </w:p>
        </w:tc>
      </w:tr>
      <w:tr>
        <w:tc>
          <w:tcPr>
            <w:tcW w:type="dxa" w:w="1769"/>
          </w:tcPr>
          <w:p>
            <w:r>
              <w:t>高速上传、ZIP解包与中断</w:t>
            </w:r>
          </w:p>
        </w:tc>
        <w:tc>
          <w:tcPr>
            <w:tcW w:type="dxa" w:w="1769"/>
          </w:tcPr>
          <w:p>
            <w:r>
              <w:t>权利要求25</w:t>
            </w:r>
          </w:p>
        </w:tc>
        <w:tc>
          <w:tcPr>
            <w:tcW w:type="dxa" w:w="1769"/>
          </w:tcPr>
          <w:p>
            <w:r>
              <w:t>实施例5[0087]-[0088]</w:t>
            </w:r>
          </w:p>
        </w:tc>
        <w:tc>
          <w:tcPr>
            <w:tcW w:type="dxa" w:w="1769"/>
          </w:tcPr>
          <w:p>
            <w:r>
              <w:t>图18</w:t>
            </w:r>
          </w:p>
        </w:tc>
        <w:tc>
          <w:tcPr>
            <w:tcW w:type="dxa" w:w="1769"/>
          </w:tcPr>
          <w:p>
            <w:r>
              <w:t>src/backend/app.py；web/app.js；data/raw/_unzipped</w:t>
            </w:r>
          </w:p>
        </w:tc>
      </w:tr>
      <w:tr>
        <w:tc>
          <w:tcPr>
            <w:tcW w:type="dxa" w:w="1769"/>
          </w:tcPr>
          <w:p>
            <w:r>
              <w:t>Prezi式动态图谱</w:t>
            </w:r>
          </w:p>
        </w:tc>
        <w:tc>
          <w:tcPr>
            <w:tcW w:type="dxa" w:w="1769"/>
          </w:tcPr>
          <w:p>
            <w:r>
              <w:t>权利要求12、26</w:t>
            </w:r>
          </w:p>
        </w:tc>
        <w:tc>
          <w:tcPr>
            <w:tcW w:type="dxa" w:w="1769"/>
          </w:tcPr>
          <w:p>
            <w:r>
              <w:t>实施例5[0090]</w:t>
            </w:r>
          </w:p>
        </w:tc>
        <w:tc>
          <w:tcPr>
            <w:tcW w:type="dxa" w:w="1769"/>
          </w:tcPr>
          <w:p>
            <w:r>
              <w:t>图17</w:t>
            </w:r>
          </w:p>
        </w:tc>
        <w:tc>
          <w:tcPr>
            <w:tcW w:type="dxa" w:w="1769"/>
          </w:tcPr>
          <w:p>
            <w:r>
              <w:t>web/app.js；web/style.css；/knowledge/graph</w:t>
            </w:r>
          </w:p>
        </w:tc>
      </w:tr>
      <w:tr>
        <w:tc>
          <w:tcPr>
            <w:tcW w:type="dxa" w:w="1769"/>
          </w:tcPr>
          <w:p>
            <w:r>
              <w:t>语音交互与中断</w:t>
            </w:r>
          </w:p>
        </w:tc>
        <w:tc>
          <w:tcPr>
            <w:tcW w:type="dxa" w:w="1769"/>
          </w:tcPr>
          <w:p>
            <w:r>
              <w:t>权利要求27</w:t>
            </w:r>
          </w:p>
        </w:tc>
        <w:tc>
          <w:tcPr>
            <w:tcW w:type="dxa" w:w="1769"/>
          </w:tcPr>
          <w:p>
            <w:r>
              <w:t>实施例5[0091]</w:t>
            </w:r>
          </w:p>
        </w:tc>
        <w:tc>
          <w:tcPr>
            <w:tcW w:type="dxa" w:w="1769"/>
          </w:tcPr>
          <w:p>
            <w:r>
              <w:t>图19</w:t>
            </w:r>
          </w:p>
        </w:tc>
        <w:tc>
          <w:tcPr>
            <w:tcW w:type="dxa" w:w="1769"/>
          </w:tcPr>
          <w:p>
            <w:r>
              <w:t>Web Speech API；前端中断控制</w:t>
            </w:r>
          </w:p>
        </w:tc>
      </w:tr>
      <w:tr>
        <w:tc>
          <w:tcPr>
            <w:tcW w:type="dxa" w:w="1769"/>
          </w:tcPr>
          <w:p>
            <w:r>
              <w:t>本地快速索引</w:t>
            </w:r>
          </w:p>
        </w:tc>
        <w:tc>
          <w:tcPr>
            <w:tcW w:type="dxa" w:w="1769"/>
          </w:tcPr>
          <w:p>
            <w:r>
              <w:t>权利要求16、28</w:t>
            </w:r>
          </w:p>
        </w:tc>
        <w:tc>
          <w:tcPr>
            <w:tcW w:type="dxa" w:w="1769"/>
          </w:tcPr>
          <w:p>
            <w:r>
              <w:t>实施例5[0089]</w:t>
            </w:r>
          </w:p>
        </w:tc>
        <w:tc>
          <w:tcPr>
            <w:tcW w:type="dxa" w:w="1769"/>
          </w:tcPr>
          <w:p>
            <w:r>
              <w:t>图20</w:t>
            </w:r>
          </w:p>
        </w:tc>
        <w:tc>
          <w:tcPr>
            <w:tcW w:type="dxa" w:w="1769"/>
          </w:tcPr>
          <w:p>
            <w:r>
              <w:t>remote_embeddings；DenseRetriever；ingest_job</w:t>
            </w:r>
          </w:p>
        </w:tc>
      </w:tr>
    </w:tbl>
    <w:p>
      <w:r>
        <w:br w:type="page"/>
      </w:r>
    </w:p>
    <w:p>
      <w:pPr>
        <w:pStyle w:val="Heading1"/>
      </w:pPr>
      <w:r>
        <w:t>第八部分：说明书附图</w:t>
      </w:r>
    </w:p>
    <w:p>
      <w:pPr>
        <w:spacing w:line="300" w:lineRule="auto" w:after="80"/>
      </w:pPr>
      <w:r>
        <w:t>图1：系统整体架构图，展示资料输入、解析分块、本体抽取、知识图谱、问答审计以及硬件适配层的组成关系。</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t>图14：安全审计与权限管理架构图，展示权限控制、密级策略、证据包、模型版本、推理指标和日志记录机制。</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r>
        <w:t>图16：可迁移部署与环境自检流程图。</w:t>
      </w:r>
    </w:p>
    <w:p>
      <w:pPr/>
      <w:r>
        <w:t>图17：Prezi式动态知识图谱交互示意图。</w:t>
      </w:r>
    </w:p>
    <w:p>
      <w:pPr/>
      <w:r>
        <w:t>图18：批量上传、ZIP安全解包与后台摄取流程图。</w:t>
      </w:r>
    </w:p>
    <w:p>
      <w:pPr/>
      <w:r>
        <w:t>图19：语音交互与语音讲解流程图。</w:t>
      </w:r>
    </w:p>
    <w:p>
      <w:pPr/>
      <w:r>
        <w:t>图20：本地快速索引与后台重建流程图。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一种面向民机适航认证的本体约束型知识图谱构建与证据锚定分析方法（技术架构实现增强版）</dc:title>
  <dc:subject>可迁移部署、动态知识图谱、批量上传、语音交互、本地快速索引</dc:subject>
  <dc:creator>python-docx</dc:creator>
  <cp:keywords/>
  <dc:description>根据最新前后端技术架构和实现范式增补。</dc:description>
  <cp:lastModifiedBy/>
  <cp:revision>1</cp:revision>
  <dcterms:created xsi:type="dcterms:W3CDTF">2013-12-23T23:15:00Z</dcterms:created>
  <dcterms:modified xsi:type="dcterms:W3CDTF">2013-12-23T23:15:00Z</dcterms:modified>
  <cp:category/>
</cp:coreProperties>
</file>