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53B2B"/>
          <w:sz w:val="48"/>
        </w:rPr>
        <w:t>AgriKB 使用说明书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F6E65"/>
          <w:sz w:val="26"/>
        </w:rPr>
        <w:t>从启动、问答、政策、行情、天气、地图、文件到卸载的完整操作说明。</w:t>
      </w:r>
    </w:p>
    <w:p>
      <w:pPr>
        <w:jc w:val="center"/>
      </w:pPr>
      <w:r>
        <w:rPr>
          <w:rFonts w:ascii="Microsoft YaHei" w:hAnsi="Microsoft YaHei" w:eastAsia="Microsoft YaHei"/>
          <w:b/>
          <w:color w:val="A87224"/>
          <w:sz w:val="22"/>
        </w:rPr>
        <w:t>增强版 V1.3 / 2026-05-25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1F2A24"/>
          <w:sz w:val="21"/>
        </w:rPr>
        <w:t>适用场景：江苏句容样板、县域农业局、合作社、家庭农场、收购企业与新农人创业团队</w:t>
      </w:r>
    </w:p>
    <w:p/>
    <w:p>
      <w:pPr>
        <w:pStyle w:val="Heading1"/>
      </w:pPr>
      <w:r>
        <w:t>一键启动与手机测试</w:t>
      </w:r>
    </w:p>
    <w:p>
      <w:r>
        <w:rPr>
          <w:rFonts w:ascii="Microsoft YaHei" w:hAnsi="Microsoft YaHei" w:eastAsia="Microsoft YaHei"/>
          <w:b w:val="0"/>
          <w:color w:val="1F2A24"/>
          <w:sz w:val="21"/>
        </w:rPr>
        <w:t>本说明面向可信电脑交付包。用户解压后不需要重新配置开发环境，先运行启动脚本，再通过电脑浏览器或同一局域网手机访问系统。默认场景为江苏句容，可在设置、天气、地图与市场模块中切换位置。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1F2A24"/>
          <w:sz w:val="21"/>
        </w:rPr>
        <w:t>解压 `AgriKB_TrustedPC_OneClick_20260525.zip`，进入 `AgriKB_TrustedPC_OneClick` 文件夹。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1F2A24"/>
          <w:sz w:val="21"/>
        </w:rPr>
        <w:t>双击 `一键启动AgriKB_可信电脑.bat`，等待浏览器打开首页。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1F2A24"/>
          <w:sz w:val="21"/>
        </w:rPr>
        <w:t>需要手机测试时打开“设置”，在“手机端可扫码”区域扫描二维码；如果酒店 Wi-Fi 阻断互访，改用手机热点或运行 `一键修复手机扫码访问.bat`。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1F2A24"/>
          <w:sz w:val="21"/>
        </w:rPr>
        <w:t>需要更换模型或 API key 时进入“设置”，更新新农人助手模型配置并保存。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1F2A24"/>
          <w:sz w:val="21"/>
        </w:rPr>
        <w:t>交付结束或迁移前可运行 `一键卸载AgriKB.bat` 清理本项目创建的后台进程、临时文件和便携环境。</w:t>
      </w:r>
    </w:p>
    <w:p>
      <w:pPr>
        <w:pStyle w:val="Heading1"/>
      </w:pPr>
      <w:r>
        <w:t>农户、农业局、企业三类用户怎么用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53B2B"/>
                <w:sz w:val="19"/>
              </w:rPr>
              <w:t>用户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53B2B"/>
                <w:sz w:val="19"/>
              </w:rPr>
              <w:t>第一步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53B2B"/>
                <w:sz w:val="19"/>
              </w:rPr>
              <w:t>重点查看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53B2B"/>
                <w:sz w:val="19"/>
              </w:rPr>
              <w:t>形成结果</w:t>
            </w:r>
          </w:p>
        </w:tc>
      </w:tr>
      <w:tr>
        <w:tc>
          <w:tcPr>
            <w:tcW w:type="dxa" w:w="2493"/>
            <w:vAlign w:val="top"/>
          </w:tcPr>
          <w:p>
            <w:r>
              <w:rPr>
                <w:rFonts w:ascii="Microsoft YaHei" w:hAnsi="Microsoft YaHei" w:eastAsia="Microsoft YaHei"/>
                <w:b w:val="0"/>
                <w:color w:val="1F2A24"/>
                <w:sz w:val="18"/>
              </w:rPr>
              <w:t>农户/新农人</w:t>
            </w:r>
          </w:p>
        </w:tc>
        <w:tc>
          <w:tcPr>
            <w:tcW w:type="dxa" w:w="2493"/>
            <w:vAlign w:val="top"/>
          </w:tcPr>
          <w:p>
            <w:r>
              <w:rPr>
                <w:rFonts w:ascii="Microsoft YaHei" w:hAnsi="Microsoft YaHei" w:eastAsia="Microsoft YaHei"/>
                <w:b w:val="0"/>
                <w:color w:val="1F2A24"/>
                <w:sz w:val="18"/>
              </w:rPr>
              <w:t>从今日安排、销售渠道、补贴申报、天气风险进入</w:t>
            </w:r>
          </w:p>
        </w:tc>
        <w:tc>
          <w:tcPr>
            <w:tcW w:type="dxa" w:w="2493"/>
            <w:vAlign w:val="top"/>
          </w:tcPr>
          <w:p>
            <w:r>
              <w:rPr>
                <w:rFonts w:ascii="Microsoft YaHei" w:hAnsi="Microsoft YaHei" w:eastAsia="Microsoft YaHei"/>
                <w:b w:val="0"/>
                <w:color w:val="1F2A24"/>
                <w:sz w:val="18"/>
              </w:rPr>
              <w:t>一句话建议、价格表、天气滑页、路线和收购渠道</w:t>
            </w:r>
          </w:p>
        </w:tc>
        <w:tc>
          <w:tcPr>
            <w:tcW w:type="dxa" w:w="2493"/>
            <w:vAlign w:val="top"/>
          </w:tcPr>
          <w:p>
            <w:r>
              <w:rPr>
                <w:rFonts w:ascii="Microsoft YaHei" w:hAnsi="Microsoft YaHei" w:eastAsia="Microsoft YaHei"/>
                <w:b w:val="0"/>
                <w:color w:val="1F2A24"/>
                <w:sz w:val="18"/>
              </w:rPr>
              <w:t>今天该干什么、卖给谁、是否抢采、防潮和物流怎么安排</w:t>
            </w:r>
          </w:p>
        </w:tc>
      </w:tr>
      <w:tr>
        <w:tc>
          <w:tcPr>
            <w:tcW w:type="dxa" w:w="2493"/>
            <w:vAlign w:val="top"/>
          </w:tcPr>
          <w:p>
            <w:r>
              <w:rPr>
                <w:rFonts w:ascii="Microsoft YaHei" w:hAnsi="Microsoft YaHei" w:eastAsia="Microsoft YaHei"/>
                <w:b w:val="0"/>
                <w:color w:val="1F2A24"/>
                <w:sz w:val="18"/>
              </w:rPr>
              <w:t>农业局/园区</w:t>
            </w:r>
          </w:p>
        </w:tc>
        <w:tc>
          <w:tcPr>
            <w:tcW w:type="dxa" w:w="2493"/>
            <w:vAlign w:val="top"/>
          </w:tcPr>
          <w:p>
            <w:r>
              <w:rPr>
                <w:rFonts w:ascii="Microsoft YaHei" w:hAnsi="Microsoft YaHei" w:eastAsia="Microsoft YaHei"/>
                <w:b w:val="0"/>
                <w:color w:val="1F2A24"/>
                <w:sz w:val="18"/>
              </w:rPr>
              <w:t>进入政策解读、资讯聚合、质量溯源和数智中台</w:t>
            </w:r>
          </w:p>
        </w:tc>
        <w:tc>
          <w:tcPr>
            <w:tcW w:type="dxa" w:w="2493"/>
            <w:vAlign w:val="top"/>
          </w:tcPr>
          <w:p>
            <w:r>
              <w:rPr>
                <w:rFonts w:ascii="Microsoft YaHei" w:hAnsi="Microsoft YaHei" w:eastAsia="Microsoft YaHei"/>
                <w:b w:val="0"/>
                <w:color w:val="1F2A24"/>
                <w:sz w:val="18"/>
              </w:rPr>
              <w:t>本地部门入口、热线、政策窗口、产业热点和舆情线索</w:t>
            </w:r>
          </w:p>
        </w:tc>
        <w:tc>
          <w:tcPr>
            <w:tcW w:type="dxa" w:w="2493"/>
            <w:vAlign w:val="top"/>
          </w:tcPr>
          <w:p>
            <w:r>
              <w:rPr>
                <w:rFonts w:ascii="Microsoft YaHei" w:hAnsi="Microsoft YaHei" w:eastAsia="Microsoft YaHei"/>
                <w:b w:val="0"/>
                <w:color w:val="1F2A24"/>
                <w:sz w:val="18"/>
              </w:rPr>
              <w:t>政策宣传、申报辅导、风险预警、产业扶持研判</w:t>
            </w:r>
          </w:p>
        </w:tc>
      </w:tr>
      <w:tr>
        <w:tc>
          <w:tcPr>
            <w:tcW w:type="dxa" w:w="2493"/>
            <w:vAlign w:val="top"/>
          </w:tcPr>
          <w:p>
            <w:r>
              <w:rPr>
                <w:rFonts w:ascii="Microsoft YaHei" w:hAnsi="Microsoft YaHei" w:eastAsia="Microsoft YaHei"/>
                <w:b w:val="0"/>
                <w:color w:val="1F2A24"/>
                <w:sz w:val="18"/>
              </w:rPr>
              <w:t>收购企业/合作社</w:t>
            </w:r>
          </w:p>
        </w:tc>
        <w:tc>
          <w:tcPr>
            <w:tcW w:type="dxa" w:w="2493"/>
            <w:vAlign w:val="top"/>
          </w:tcPr>
          <w:p>
            <w:r>
              <w:rPr>
                <w:rFonts w:ascii="Microsoft YaHei" w:hAnsi="Microsoft YaHei" w:eastAsia="Microsoft YaHei"/>
                <w:b w:val="0"/>
                <w:color w:val="1F2A24"/>
                <w:sz w:val="18"/>
              </w:rPr>
              <w:t>进入市场行情、目标市场、路线规划和供应商聚合</w:t>
            </w:r>
          </w:p>
        </w:tc>
        <w:tc>
          <w:tcPr>
            <w:tcW w:type="dxa" w:w="2493"/>
            <w:vAlign w:val="top"/>
          </w:tcPr>
          <w:p>
            <w:r>
              <w:rPr>
                <w:rFonts w:ascii="Microsoft YaHei" w:hAnsi="Microsoft YaHei" w:eastAsia="Microsoft YaHei"/>
                <w:b w:val="0"/>
                <w:color w:val="1F2A24"/>
                <w:sz w:val="18"/>
              </w:rPr>
              <w:t>产地与目标市场价格、沿途散货建议、冷链与配送候选</w:t>
            </w:r>
          </w:p>
        </w:tc>
        <w:tc>
          <w:tcPr>
            <w:tcW w:type="dxa" w:w="2493"/>
            <w:vAlign w:val="top"/>
          </w:tcPr>
          <w:p>
            <w:r>
              <w:rPr>
                <w:rFonts w:ascii="Microsoft YaHei" w:hAnsi="Microsoft YaHei" w:eastAsia="Microsoft YaHei"/>
                <w:b w:val="0"/>
                <w:color w:val="1F2A24"/>
                <w:sz w:val="18"/>
              </w:rPr>
              <w:t>锁定货源、安排分级包装、减少损耗、形成采购计划</w:t>
            </w:r>
          </w:p>
        </w:tc>
      </w:tr>
    </w:tbl>
    <w:p>
      <w:pPr>
        <w:pStyle w:val="Heading1"/>
      </w:pPr>
      <w:r>
        <w:t>核心界面与功能入口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A24"/>
          <w:sz w:val="21"/>
        </w:rPr>
        <w:t>问答悬浮窗位于屏幕中央偏下，支持回车发送、文件上传、联网搜索开关、模型配置入口和回答下方小喇叭朗读。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A24"/>
          <w:sz w:val="21"/>
        </w:rPr>
        <w:t>证据链、知识树和规则解释默认折叠，用户需要时再展开，避免首页堆满技术信息。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A24"/>
          <w:sz w:val="21"/>
        </w:rPr>
        <w:t>政策、市场、气象、收购和路线会在回答中自动聚合，优先给出能执行的一句话建议，再给出分步骤判断。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A24"/>
          <w:sz w:val="21"/>
        </w:rPr>
        <w:t>市场与农资查询支持下拉选择和手动输入；查询后会自动生成小结与实时建议，并沉淀到本地 ontology 文件夹。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A24"/>
          <w:sz w:val="21"/>
        </w:rPr>
        <w:t>地图选点后会把产地和目标市场自动更新到文本框，路线模块给出行驶方向、物流建议和沿途散货销售判断。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A24"/>
          <w:sz w:val="21"/>
        </w:rPr>
        <w:t>天气模块默认江苏句容，并提供当天、明天、三天、五到十天、十五天和三周趋势的滑页视图。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A24"/>
          <w:sz w:val="21"/>
        </w:rPr>
        <w:t>资讯聚合采用类似头条流的动态刷新方式，围绕农业创业、科技农业、青年人才、招商孵化、新媒体助农、政策资金六类滚动展示。</w:t>
      </w:r>
    </w:p>
    <w:p>
      <w:pPr>
        <w:pStyle w:val="Heading1"/>
      </w:pPr>
      <w:r>
        <w:t>文件、设置与数据沉淀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A24"/>
          <w:sz w:val="21"/>
        </w:rPr>
        <w:t>“文件”用于导入政策文件、收购表、价格表、图片和 PDF，也可导出当前问答、规则解读和材料摘要。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A24"/>
          <w:sz w:val="21"/>
        </w:rPr>
        <w:t>“设置”用于切换联网、更新 API key、选择模型、查看手机扫码地址、配置默认产地和目标市场。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A24"/>
          <w:sz w:val="21"/>
        </w:rPr>
        <w:t>所有用户主动查询形成的品类、价格、规则、证据摘要会按作物、农资、政策、市场、气象、物流等 ontology 目录组织，便于下次召回。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A24"/>
          <w:sz w:val="21"/>
        </w:rPr>
        <w:t>后台保留 AGROVOC、Crop Ontology、台湾农业开放数据、Google Earth Engine 农业标签数据和江苏句容本地报道支撑库。</w:t>
      </w:r>
    </w:p>
    <w:p>
      <w:pPr>
        <w:pStyle w:val="Heading1"/>
      </w:pPr>
      <w:r>
        <w:t>常见问题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A24"/>
          <w:sz w:val="21"/>
        </w:rPr>
        <w:t>手机打不开：大概率是酒店或公共 Wi-Fi 开启客户端隔离。优先换手机热点或路由器，再运行防火墙修复脚本。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A24"/>
          <w:sz w:val="21"/>
        </w:rPr>
        <w:t>模型超时：系统已将新农人助手模型调用超时放宽，并启用压缩重试；若网络波动，前端会返回可用的本地证据建议。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A24"/>
          <w:sz w:val="21"/>
        </w:rPr>
        <w:t>页面旧样式：刷新时使用 `?v=20260525agri92`，或清理浏览器缓存。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A24"/>
          <w:sz w:val="21"/>
        </w:rPr>
        <w:t>不要公开外发 `.env`，其中包含可信电脑专用的模型配置。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0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6B4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53B2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A8722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AgriKB 使用说明书</dc:title>
  <dc:subject>AgriKB 数智新农人经营中枢交付材料增强版</dc:subject>
  <dc:creator>AgriKB Project</dc:creator>
  <cp:keywords/>
  <dc:description>Generated on 2026-05-25. API keys are intentionally not printed in document body.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