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p>
      <w:pPr>
        <w:pStyle w:val="Heading1"/>
      </w:pPr>
      <w:r>
        <w:t>第二部分：权利要求书</w:t>
      </w:r>
    </w:p>
    <w:p>
      <w:r>
        <w:rPr>
          <w:b/>
        </w:rPr>
        <w:t>（合并后的权利要求书，共12项）</w:t>
      </w:r>
    </w:p>
    <w:p>
      <w:r>
        <w:rPr>
          <w:b/>
        </w:rPr>
        <w:t>权利要求1</w:t>
      </w:r>
    </w:p>
    <w:p>
      <w:r>
        <w:rPr>
          <w:b w:val="0"/>
        </w:rPr>
        <w:t>一种面向航空维修认证的多模态知识库与证据链推理系统，其特征在于，包括文档摄取模块、知识规范化模块、混合检索模块、多步骤推理模块、证据归因模块、动态知识图谱模块、会话记忆模块、语音交互模块、报告导出模块和迁移部署模块；所述文档摄取模块用于接收PDF、DOCX、TXT、Markdown、CSV、XLSX和ZIP文件，生成包含document_id、source_path、file_name、chunk_id、page、section、raw_text、clean_text、entities_json、relations_json、quality_score、created_at和updated_at字段的标准知识块；所述混合检索模块基于BM25、稠密向量、图谱邻接、实体命中和重排序评分形成候选证据；所述多步骤推理模块基于候选证据生成专业回答；所述证据归因模块将回答拆分为answer claim，并为每个claim标注document、inferred、web_search、model_prior或unsupported来源类型；所述动态知识图谱模块以Document、Section、Topic、Chunk、Entity、Keyword、Evidence和Answer Claim为节点生成可缩放、可追溯的知识空间。</w:t>
      </w:r>
    </w:p>
    <w:p>
      <w:r>
        <w:rPr>
          <w:b/>
        </w:rPr>
        <w:t>权利要求2</w:t>
      </w:r>
    </w:p>
    <w:p>
      <w:r>
        <w:rPr>
          <w:b w:val="0"/>
        </w:rPr>
        <w:t>根据权利要求1所述的系统，其特征在于，所述文档摄取模块采用后台任务IngestJob表示每一次上传或导入任务，IngestJob至少包括job_id、status、total_paths、documents_processed、documents_failed、chunks_written、current_file、progress_percent、started_at、completed_at、duration_seconds和error_message字段；当处理ZIP或多文件批量任务时，系统按文件级并行解析、按文档级提交SQLite事务，并在每篇文档完成后立即刷新知识树、知识图谱和前端进度，从而使用户能够看到“已处理文档数、总文档数、chunk数量、当前文件和失败原因”。</w:t>
      </w:r>
    </w:p>
    <w:p>
      <w:r>
        <w:rPr>
          <w:b/>
        </w:rPr>
        <w:t>权利要求3</w:t>
      </w:r>
    </w:p>
    <w:p>
      <w:r>
        <w:rPr>
          <w:b w:val="0"/>
        </w:rPr>
        <w:t>根据权利要求1所述的系统，其特征在于，所述知识规范化模块包括文本抽取、OCR兼容、章节标题识别、页码定位、chunk切分、实体抽取、关键词抽取和关系抽取步骤；其中chunk切分遵循最小token数、最大token数和重叠窗口约束，实体抽取至少识别航空器型号、适航标准、ATA章节、系统缩写、部件名称、认证流程、故障模式、接口名称、文件名和图号，关系抽取至少生成contains、mentions、related_to、supports和derived_from边。</w:t>
      </w:r>
    </w:p>
    <w:p>
      <w:r>
        <w:rPr>
          <w:b/>
        </w:rPr>
        <w:t>权利要求4</w:t>
      </w:r>
    </w:p>
    <w:p>
      <w:r>
        <w:rPr>
          <w:b w:val="0"/>
        </w:rPr>
        <w:t>根据权利要求1所述的系统，其特征在于，所述混合检索模块采用统一评分函数S=w1*S_bm25+w2*S_dense+w3*S_entity+w4*S_graph+w5*S_recency+w6*S_quality，其中S_bm25为关键词匹配得分，S_dense为语义向量相似度，S_entity为实体重合得分，S_graph为图谱邻域支持得分，S_recency为会话近期相关度，S_quality为chunk质量得分；系统可在无本地向量模型时降级为BM25和规则实体检索，并在有Ollama、OpenAI-compatible、Kimi或vLLM Ascend服务时自动选择可用provider。</w:t>
      </w:r>
    </w:p>
    <w:p>
      <w:r>
        <w:rPr>
          <w:b/>
        </w:rPr>
        <w:t>权利要求5</w:t>
      </w:r>
    </w:p>
    <w:p>
      <w:r>
        <w:rPr>
          <w:b w:val="0"/>
        </w:rPr>
        <w:t>根据权利要求1所述的系统，其特征在于，所述证据归因模块对每个answer claim建立provenance对象，所述provenance对象至少包括source_type、source_id、doc_id、chunk_id、file_name、page、section、url、model、retrieval_score、confidence和created_at字段；当claim由单一或多个文档chunk直接支持时标记为document，当由多个文档证据综合推导时标记为inferred，当来自真实联网搜索结果时标记为web_search，当未被当前知识库证据覆盖但由模型常识给出时标记为model_prior，当与证据冲突或置信度低于阈值时标记为unsupported。</w:t>
      </w:r>
    </w:p>
    <w:p>
      <w:r>
        <w:rPr>
          <w:b/>
        </w:rPr>
        <w:t>权利要求6</w:t>
      </w:r>
    </w:p>
    <w:p>
      <w:r>
        <w:rPr>
          <w:b w:val="0"/>
        </w:rPr>
        <w:t>根据权利要求1所述的系统，其特征在于，所述动态知识图谱模块通过/api/knowledge/tree返回树结构，通过/api/knowledge/graph返回nodes和edges结构；树结构按Knowledge Base→Document→Section或Topic→Chunk→Entity或Keyword组织，图结构按Document、Topic、Chunk、Entity、Evidence和Claim的支持关系组织；前端在摄取任务运行期间把active ingest节点和已完成文档实时叠加到知识树中，在问答期间把当前query、命中实体、retrieved chunk和answer claim叠加为动态证据链。</w:t>
      </w:r>
    </w:p>
    <w:p>
      <w:r>
        <w:rPr>
          <w:b/>
        </w:rPr>
        <w:t>权利要求7</w:t>
      </w:r>
    </w:p>
    <w:p>
      <w:r>
        <w:rPr>
          <w:b w:val="0"/>
        </w:rPr>
        <w:t>根据权利要求1所述的系统，其特征在于，所述会话记忆模块为每轮对话生成session_id、query_id和answer_id，并将用户问题、检索证据、answer claim、source_type、临时记忆summary、长期规则memory rule和session_evidence_graph写入本地JSON或SQLite；当前对话的临时记忆用于追问消歧，历史对话列表支持新建、载入、删除和清空，会话图谱在多轮追问中以Q1→Evidence→Claim→Q2→Evidence→Claim的形式持续扩展。</w:t>
      </w:r>
    </w:p>
    <w:p>
      <w:r>
        <w:rPr>
          <w:b/>
        </w:rPr>
        <w:t>权利要求8</w:t>
      </w:r>
    </w:p>
    <w:p>
      <w:r>
        <w:rPr>
          <w:b w:val="0"/>
        </w:rPr>
        <w:t>根据权利要求1所述的系统，其特征在于，所述系统包含回答锁定机制：当后台摄取任务仍在运行且用户问题依赖未完成文档集合时，前端显示“仍在分析中，可基于已完成文档回答或等待全部完成”的状态提示，并在默认模式下避免把未完成知识库误判为已完成；系统允许用户选择仅基于已摄取证据回答，此时证据链显式标注当前覆盖范围和未完成文档数量。</w:t>
      </w:r>
    </w:p>
    <w:p>
      <w:r>
        <w:rPr>
          <w:b/>
        </w:rPr>
        <w:t>权利要求9</w:t>
      </w:r>
    </w:p>
    <w:p>
      <w:r>
        <w:rPr>
          <w:b w:val="0"/>
        </w:rPr>
        <w:t>根据权利要求1所述的系统，其特征在于，所述会话记忆模块还包括规则融合单元，所述规则融合单元从连续问答、上传文档和用户反馈中提炼短规则，每条规则包括rule_id、rule_text、scope、evidence_ids、confidence、usage_count、last_used_at和merged_from字段；当新规则与既有规则语义相近、覆盖范围重叠或证据来源一致时，系统合并为更精炼的规则，而不是追加冗余规则。</w:t>
      </w:r>
    </w:p>
    <w:p>
      <w:r>
        <w:rPr>
          <w:b/>
        </w:rPr>
        <w:t>权利要求10</w:t>
      </w:r>
    </w:p>
    <w:p>
      <w:r>
        <w:rPr>
          <w:b w:val="0"/>
        </w:rPr>
        <w:t>根据权利要求1所述的系统，其特征在于，所述前端交互模块提供Apple风格的三栏工作台，至少包括历史对话栏、专业回答与证据链区域、上传与动态知识树区域；知识树画布支持鼠标滚轮缩放、拖拽平移、Fit to View、Reset、冻结、导出、截图、HD SVG和Word报告导出；语音交互模块支持语音提问、朗读专业回答、停止朗读、语速调节和上传中断，朗读时只读取清洗后的专业回答正文而不朗读证据链、文件名、score或E1编号。</w:t>
      </w:r>
    </w:p>
    <w:p>
      <w:r>
        <w:rPr>
          <w:b/>
        </w:rPr>
        <w:t>权利要求11</w:t>
      </w:r>
    </w:p>
    <w:p>
      <w:r>
        <w:rPr>
          <w:b w:val="0"/>
        </w:rPr>
        <w:t>根据权利要求1所述的系统，其特征在于，所述迁移部署模块生成可在新计算机解压运行的迁移包，迁移包包含Start-Portable.ps1、Setup-NewComputer.ps1、启动迁移版.bat、README_运行说明.md、迁移部署说明.md、web目录、src目录、knowledge目录结构和.env.example；迁移包排除.env、.venv、__pycache__、runtime缓存和真实API key，并在首次启动时自动检测Python、依赖包、Ollama、本地模型、OpenAI-compatible配置和Kimi API key配置状态。</w:t>
      </w:r>
    </w:p>
    <w:p>
      <w:r>
        <w:rPr>
          <w:b/>
        </w:rPr>
        <w:t>权利要求12</w:t>
      </w:r>
    </w:p>
    <w:p>
      <w:r>
        <w:rPr>
          <w:b w:val="0"/>
        </w:rPr>
        <w:t>一种计算机可读存储介质和电子设备，其特征在于，所述计算机可读存储介质存储有程序指令，所述程序指令被处理器执行时实现权利要求1至11任一项所述系统的文档摄取、知识树生成、混合检索、证据归因、会话记忆、动态图谱显示、语音交互、报告导出和迁移部署步骤；所述电子设备包括CPU、GPU或NPU中的至少一种计算单元，并可在本地模式、云端API模式或混合模式下运行。</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t>[0018] 其中BM25(q, c)基于Jieba中文分词计算查询词与标准条款文本之间的词汇相关性；CosSim(q, c)可基于远程嵌入模型、本地嵌入模型或确定性本地特征向量化模块将查询和标准条款编码为向量后计算余弦相似度；TypeMatch(q,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当远程嵌入服务不可用、密钥未配置或处于内网离线模式时，系统采用本地快速向量化与缓存机制先保证检索链路可用，并在后台补充高精度向量索引。</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r>
        <w:t>十二、可迁移部署、动态可视化和高速资料摄取机制</w:t>
      </w:r>
    </w:p>
    <w:p>
      <w:pPr/>
      <w:r>
        <w:t>[0030E] 为使项目能够复制到新计算机后仍可直接运行，本发明进一步设置可迁移部署模块。该模块把后端服务、前端页面、配置文件、示例环境变量、运行脚本、打包脚本、上传目录、原始资料目录、解压目录、索引目录和审计目录组织为统一项目包；首次运行时执行环境自检，检查运行时版本、依赖安装状态、端口占用、目录权限、模型服务地址、浏览器能力和安全策略，并根据检测结果输出可读的环境报告。</w:t>
      </w:r>
    </w:p>
    <w:p>
      <w:pPr/>
      <w:r>
        <w:t>[0030F] API Key和模型服务参数采用外置配置方式管理。系统在源代码中只保留配置项名称和读取逻辑，具体密钥、OpenAI兼容服务地址、本地模型地址、默认模型名称、向量化策略、上传大小阈值和并发数写入.env、config.yaml或等效配置对象；在新计算机上更换密钥时，只需修改外部配置并重启服务，审计日志记录配置版本但不记录明文密钥。</w:t>
      </w:r>
    </w:p>
    <w:p>
      <w:pPr/>
      <w:r>
        <w:t>[0030G] 资料接入模块支持普通文件、批量文件夹和ZIP压缩包三类输入。上传文件先落入data/raw或等效原始资料目录；ZIP原包保留后解压到隔离子目录，解压过程检查相对路径、文件后缀、单文件大小、总解压大小和重复文件指纹，阻止路径穿越和非授权文件类型。小型文件采用批量合并上传，大型文件采用固定大小分块和多工作线程并发上传；用户取消上传时，前端终止传输，后端清理临时分块和未完成任务。</w:t>
      </w:r>
    </w:p>
    <w:p>
      <w:pPr/>
      <w:r>
        <w:t>[0030H] 文件落盘与资料摄取解耦。系统在文件保存成功后立即返回任务标识，后台任务继续执行解析、语义分块、BM25索引、本地向量索引、图谱更新和经验条目抽取，前端通过任务状态接口展示queued、running、finished、failed、cancelled等状态。对于一百个以上文档的导入场景，文件接收和任务排队可快速完成，耗时较长的OCR、嵌入计算和图谱推理由后台逐步处理，从而改善用户等待体验。</w:t>
      </w:r>
    </w:p>
    <w:p>
      <w:pPr/>
      <w:r>
        <w:t>[0030I] 动态知识树和图谱可视化模块采用连续缩放视野。系统同时维护层级知识树和关系图谱：知识树用于按文档、章节、实体类型、标准条款和经验条目快速定位；图谱用于展示实体、关系、证据和标准引用之间的网络结构。图谱视图基于节点类型、关系强度、证据来源和用户焦点计算布局，通过碰撞检测、标签避让、边长约束、局部展开、远端折叠和焦点高亮减少节点重叠，并通过滚轮缩放、画布拖拽、节点聚焦和视野扩展实现类似演示式缩放浏览的交互效果。</w:t>
      </w:r>
    </w:p>
    <w:p>
      <w:pPr/>
      <w:r>
        <w:t>[0030J] 语音交互模块提供语音提问和语音讲解。系统可调用浏览器语音识别、操作系统语音接口或等效语音服务将用户语音转换为文本查询，随后通过混合检索和证据锚定生成回答；回答完成后通过语音合成朗读结论、证据来源和人工复核提示。若用户在录音、上传、生成或朗读过程中发起新任务或点击中断，系统停止当前任务并写入中断状态，避免旧任务继续占用资源或输出过时结果。</w:t>
      </w:r>
    </w:p>
    <w:p>
      <w:pPr/>
      <w:r>
        <w:t>[0030K] 在一种工程实现中，前后端通过健康检查、文件上传、批量上传、分块上传、取消上传、后台摄取任务查询、知识树查询、知识图谱查询、问答生成和审计查询等接口连接。上述接口名称、脚本名称和目录名称不构成对本发明保护范围的限制，所属领域技术人员可用FastAPI、Flask、Spring、Electron、浏览器原生页面或其他等效框架实现同样功能。</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t>[0027] 本发明构建了混合检索增强生成管线，融合BM25稀疏检索与稠密向量检索的互补优势。稀疏检索阶段采用基于Jieba中文分词的BM25算法构建倒排索引，支持元数据字段权重提升。稠密检索阶段可通过远程嵌入模型、本地嵌入模型或确定性本地特征向量化模块将知识块编码为向量，采用余弦相似度计算语义相似度；当配置关闭远程嵌入或嵌入服务超时时，系统保留本地向量索引和BM25索引，避免大量文档导入时因逐段远程调用导致启动或摄取时间过长。混合融合阶段对两路分数分别归一化后以可配置权重加权求和，同时执行倒排融合（RRF）消除分数尺度不一致问题。重排阶段采用启发式重排器，基于关键词重叠率、元数据匹配度、证据来源多样性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r>
        <w:rPr>
          <w:b/>
        </w:rPr>
        <w:t>以下仅保留三个实施例，三个实施例分别覆盖部署数据底座、摄取与动态图谱、问答与交互导出；每个实施例均给出可复现的工程字段、接口、状态和流程。</w:t>
      </w:r>
    </w:p>
    <w:p>
      <w:r>
        <w:rPr>
          <w:b/>
        </w:rPr>
        <w:t>实施例1：系统部署、目录结构和数据底座的1:1复现</w:t>
      </w:r>
    </w:p>
    <w:p>
      <w:r>
        <w:rPr>
          <w:b w:val="0"/>
        </w:rPr>
        <w:t>[0030] 本实施例给出系统从空目录到可运行服务的复现方式。部署目录包含src/backend、knowledge/ingestion、knowledge/chunks.db、knowledge/sessions、knowledge/agent_memory、web、exports、runtime、tests、Start-Portable.ps1、Setup-NewComputer.ps1和.env.example。src/backend/app.py负责FastAPI路由，src/backend/service.py负责问答编排、会话记忆和证据图谱生成，knowledge/ingestion/ingest_pipeline.py负责文档解析、chunk切分、实体关系抽取和SQLite写入，web/index.html、web/app.js和web/style.css负责三栏式前端工作台。</w:t>
      </w:r>
    </w:p>
    <w:p>
      <w:r>
        <w:rPr>
          <w:b w:val="0"/>
        </w:rPr>
        <w:t>[0031] 新计算机启动时，Setup-NewComputer.ps1先检测Python版本、虚拟环境、pip依赖、端口占用、Ollama可达性、OpenAI-compatible API配置、Kimi API key配置和knowledge目录完整性；若Ollama存在且模型可用，则优先本地推理；若Ollama不存在或不可用，则读取.env中的OPENAI_COMPATIBLE_BASE_URL、OPENAI_COMPATIBLE_API_KEY、OPENAI_COMPATIBLE_MODEL或KIMI_API_KEY，并把provider_status写入/health返回值。真实密钥只存在.env中，迁移包仅包含.env.example。</w:t>
      </w:r>
    </w:p>
    <w:p>
      <w:r>
        <w:rPr>
          <w:b w:val="0"/>
        </w:rPr>
        <w:t>[0032] 数据底座采用SQLite WAL模式和JSON辅助文件。chunks表字段至少包括chunk_id、doc_id、source、source_path、source_chunk_type、source_section、page_no、title、text、tokens、embedding_ref、hash、image_ref、metadata_json、entities_json、relations_json、quality_score和created_at；sessions目录保存session_id、turns、summary、temporary_memory、session_evidence_graph；agent_memory目录保存融合后的rules.json。通过该字段集合，任一chunk均可反向追溯到文件、页码、章节、实体、关系和回答证据。</w:t>
      </w:r>
    </w:p>
    <w:p>
      <w:r>
        <w:rPr>
          <w:b w:val="0"/>
        </w:rPr>
        <w:t>[0033] 后端暴露/health、/upload、/upload/chunk、/ingest/jobs、/ingest/jobs-batch-status、/api/knowledge/tree、/api/knowledge/graph、/api/query、/api/sessions、/api/session/{session_id}、DELETE /api/session/{session_id}、/api/memory/rules、/api/knowledge/reset和/exports/word-report接口。前端不直接读取数据库，而是通过上述接口获得状态、上传进度、知识树、知识图谱、证据链、历史对话和导出结果，因此部署到不同电脑时只需保持接口协议一致即可复现。</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tcPr>
          <w:p>
            <w:r>
              <w:rPr>
                <w:b/>
              </w:rPr>
              <w:t>对象</w:t>
            </w:r>
          </w:p>
        </w:tc>
        <w:tc>
          <w:tcPr>
            <w:tcW w:type="dxa" w:w="3384"/>
            <w:vAlign w:val="center"/>
          </w:tcPr>
          <w:p>
            <w:r>
              <w:rPr>
                <w:b/>
              </w:rPr>
              <w:t>关键字段或文件</w:t>
            </w:r>
          </w:p>
        </w:tc>
        <w:tc>
          <w:tcPr>
            <w:tcW w:type="dxa" w:w="4032"/>
            <w:vAlign w:val="center"/>
          </w:tcPr>
          <w:p>
            <w:r>
              <w:rPr>
                <w:b/>
              </w:rPr>
              <w:t>复现要求</w:t>
            </w:r>
          </w:p>
        </w:tc>
      </w:tr>
      <w:tr>
        <w:tc>
          <w:tcPr>
            <w:tcW w:type="dxa" w:w="1944"/>
            <w:vAlign w:val="top"/>
          </w:tcPr>
          <w:p>
            <w:r>
              <w:t>服务入口</w:t>
            </w:r>
          </w:p>
        </w:tc>
        <w:tc>
          <w:tcPr>
            <w:tcW w:type="dxa" w:w="3384"/>
            <w:vAlign w:val="top"/>
          </w:tcPr>
          <w:p>
            <w:r>
              <w:t>src/backend/app.py；/health；/api/query</w:t>
            </w:r>
          </w:p>
        </w:tc>
        <w:tc>
          <w:tcPr>
            <w:tcW w:type="dxa" w:w="4032"/>
            <w:vAlign w:val="top"/>
          </w:tcPr>
          <w:p>
            <w:r>
              <w:t>启动后应返回服务状态、provider状态和知识块数量。</w:t>
            </w:r>
          </w:p>
        </w:tc>
      </w:tr>
      <w:tr>
        <w:tc>
          <w:tcPr>
            <w:tcW w:type="dxa" w:w="1944"/>
            <w:vAlign w:val="top"/>
          </w:tcPr>
          <w:p>
            <w:r>
              <w:t>数据表</w:t>
            </w:r>
          </w:p>
        </w:tc>
        <w:tc>
          <w:tcPr>
            <w:tcW w:type="dxa" w:w="3384"/>
            <w:vAlign w:val="top"/>
          </w:tcPr>
          <w:p>
            <w:r>
              <w:t>knowledge/chunks.db；chunks表</w:t>
            </w:r>
          </w:p>
        </w:tc>
        <w:tc>
          <w:tcPr>
            <w:tcW w:type="dxa" w:w="4032"/>
            <w:vAlign w:val="top"/>
          </w:tcPr>
          <w:p>
            <w:r>
              <w:t>每个chunk必须可追溯到文件、页码、章节和实体。</w:t>
            </w:r>
          </w:p>
        </w:tc>
      </w:tr>
      <w:tr>
        <w:tc>
          <w:tcPr>
            <w:tcW w:type="dxa" w:w="1944"/>
            <w:vAlign w:val="top"/>
          </w:tcPr>
          <w:p>
            <w:r>
              <w:t>会话目录</w:t>
            </w:r>
          </w:p>
        </w:tc>
        <w:tc>
          <w:tcPr>
            <w:tcW w:type="dxa" w:w="3384"/>
            <w:vAlign w:val="top"/>
          </w:tcPr>
          <w:p>
            <w:r>
              <w:t>knowledge/sessions/{session_id}.json</w:t>
            </w:r>
          </w:p>
        </w:tc>
        <w:tc>
          <w:tcPr>
            <w:tcW w:type="dxa" w:w="4032"/>
            <w:vAlign w:val="top"/>
          </w:tcPr>
          <w:p>
            <w:r>
              <w:t>保存turns、summary、temporary_memory和session_evidence_graph。</w:t>
            </w:r>
          </w:p>
        </w:tc>
      </w:tr>
      <w:tr>
        <w:tc>
          <w:tcPr>
            <w:tcW w:type="dxa" w:w="1944"/>
            <w:vAlign w:val="top"/>
          </w:tcPr>
          <w:p>
            <w:r>
              <w:t>迁移脚本</w:t>
            </w:r>
          </w:p>
        </w:tc>
        <w:tc>
          <w:tcPr>
            <w:tcW w:type="dxa" w:w="3384"/>
            <w:vAlign w:val="top"/>
          </w:tcPr>
          <w:p>
            <w:r>
              <w:t>Setup-NewComputer.ps1；Start-Portable.ps1；.env.example</w:t>
            </w:r>
          </w:p>
        </w:tc>
        <w:tc>
          <w:tcPr>
            <w:tcW w:type="dxa" w:w="4032"/>
            <w:vAlign w:val="top"/>
          </w:tcPr>
          <w:p>
            <w:r>
              <w:t>新电脑只需解压、配置.env并运行启动脚本。</w:t>
            </w:r>
          </w:p>
        </w:tc>
      </w:tr>
    </w:tbl>
    <w:p>
      <w:r>
        <w:rPr>
          <w:b/>
        </w:rPr>
        <w:t>实施例2：高吞吐摄取、动态知识树、图谱刷新和规则记忆融合</w:t>
      </w:r>
    </w:p>
    <w:p>
      <w:r>
        <w:rPr>
          <w:b w:val="0"/>
        </w:rPr>
        <w:t>[0034] 本实施例给出批量文档处理方式。用户拖入数百份PDF、DOCX或ZIP后，上传控制器先将文件写入data/raw或runtime/upload_cache，再创建IngestJob；对于小文件采用批量提交，对于大文件采用chunk upload并记录upload_id、part_index、total_parts和sha256。后台摄取管线使用parse_workers并行解析文档，以as_completed接收完成结果；每篇文档完成后立即把该文档chunks写入SQLite并更新IngestJob，而不是等待全部文件完成后一次性刷新。</w:t>
      </w:r>
    </w:p>
    <w:p>
      <w:r>
        <w:rPr>
          <w:b w:val="0"/>
        </w:rPr>
        <w:t>[0035] 每个文档的处理过程包括extract_text、normalize_text、detect_section、split_chunk、extract_entities、extract_relations、score_quality和insert_chunks。split_chunk使用min_chunk_tokens、max_chunk_tokens和overlap_tokens控制边界；detect_section优先使用标题样式、目录、页眉和数字编号，若文档没有清晰标题，则使用文件名、页码、首行高权重短语和关键词聚类生成Topic；extract_entities至少抽取ATA、IPC、AMM、WDM、MEL、SB、AD、DO-178C、ARP4754A、B737、A320、LRU、传感器、总线、接口、故障模式和认证活动等实体。</w:t>
      </w:r>
    </w:p>
    <w:p>
      <w:r>
        <w:rPr>
          <w:b w:val="0"/>
        </w:rPr>
        <w:t>[0036] 动态知识树由/api/knowledge/tree实时生成，根节点为Knowledge Base，第二层为Document，第三层为Section或Topic，第四层为Chunk，第五层为Entity或Keyword。图谱接口/api/knowledge/graph返回nodes和edges，nodes包含id、type、label、source_type、doc_id、file_name、page、section、chunk_id、score、preview和meta，edges包含id、source、target、type和weight。前端每3秒或在job状态变化时刷新树和图谱；已完成文档节点高亮显示2秒，失败文档显示error状态，正在处理的文档显示spinner状态。</w:t>
      </w:r>
    </w:p>
    <w:p>
      <w:r>
        <w:rPr>
          <w:b w:val="0"/>
        </w:rPr>
        <w:t>[0037] 用户点击“重置知识树”时，前端调用/api/knowledge/reset，后端只清空知识树缓存、图谱缓存、索引派生文件和会话图谱中的临时分析节点，不删除原始上传文件；若用户选择“清空知识库”，系统才删除chunks表派生数据并要求二次确认。该区分保证误操作不会删除原始资料。</w:t>
      </w:r>
    </w:p>
    <w:p>
      <w:r>
        <w:rPr>
          <w:b w:val="0"/>
        </w:rPr>
        <w:t>[0038] 规则记忆采用类似Gbrain的持续融合机制：每次问答结束后，系统从answer claim、用户追问、证据片段和人工反馈中提取候选规则，先以语义相似度、实体重合度、证据重合度和scope一致性进行匹配，再把重复或近似规则合并成更短、更稳的rule_text；规则必须保留evidence_ids和confidence，且每条规则不得超过预设长度，避免生成一堆重复、空泛或不可执行的规则。</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tcPr>
          <w:p>
            <w:r>
              <w:rPr>
                <w:b/>
              </w:rPr>
              <w:t>处理阶段</w:t>
            </w:r>
          </w:p>
        </w:tc>
        <w:tc>
          <w:tcPr>
            <w:tcW w:type="dxa" w:w="3528"/>
            <w:vAlign w:val="center"/>
          </w:tcPr>
          <w:p>
            <w:r>
              <w:rPr>
                <w:b/>
              </w:rPr>
              <w:t>输入输出</w:t>
            </w:r>
          </w:p>
        </w:tc>
        <w:tc>
          <w:tcPr>
            <w:tcW w:type="dxa" w:w="3888"/>
            <w:vAlign w:val="center"/>
          </w:tcPr>
          <w:p>
            <w:r>
              <w:rPr>
                <w:b/>
              </w:rPr>
              <w:t>动态刷新点</w:t>
            </w:r>
          </w:p>
        </w:tc>
      </w:tr>
      <w:tr>
        <w:tc>
          <w:tcPr>
            <w:tcW w:type="dxa" w:w="1944"/>
            <w:vAlign w:val="top"/>
          </w:tcPr>
          <w:p>
            <w:r>
              <w:t>上传</w:t>
            </w:r>
          </w:p>
        </w:tc>
        <w:tc>
          <w:tcPr>
            <w:tcW w:type="dxa" w:w="3528"/>
            <w:vAlign w:val="top"/>
          </w:tcPr>
          <w:p>
            <w:r>
              <w:t>PDF/DOCX/TXT/ZIP→upload_id或job_id</w:t>
            </w:r>
          </w:p>
        </w:tc>
        <w:tc>
          <w:tcPr>
            <w:tcW w:type="dxa" w:w="3888"/>
            <w:vAlign w:val="top"/>
          </w:tcPr>
          <w:p>
            <w:r>
              <w:t>显示总文件数、已上传分片和可中断状态。</w:t>
            </w:r>
          </w:p>
        </w:tc>
      </w:tr>
      <w:tr>
        <w:tc>
          <w:tcPr>
            <w:tcW w:type="dxa" w:w="1944"/>
            <w:vAlign w:val="top"/>
          </w:tcPr>
          <w:p>
            <w:r>
              <w:t>解析</w:t>
            </w:r>
          </w:p>
        </w:tc>
        <w:tc>
          <w:tcPr>
            <w:tcW w:type="dxa" w:w="3528"/>
            <w:vAlign w:val="top"/>
          </w:tcPr>
          <w:p>
            <w:r>
              <w:t>source_path→clean_text、page、section</w:t>
            </w:r>
          </w:p>
        </w:tc>
        <w:tc>
          <w:tcPr>
            <w:tcW w:type="dxa" w:w="3888"/>
            <w:vAlign w:val="top"/>
          </w:tcPr>
          <w:p>
            <w:r>
              <w:t>每篇文档完成后刷新进度和文档节点。</w:t>
            </w:r>
          </w:p>
        </w:tc>
      </w:tr>
      <w:tr>
        <w:tc>
          <w:tcPr>
            <w:tcW w:type="dxa" w:w="1944"/>
            <w:vAlign w:val="top"/>
          </w:tcPr>
          <w:p>
            <w:r>
              <w:t>分块</w:t>
            </w:r>
          </w:p>
        </w:tc>
        <w:tc>
          <w:tcPr>
            <w:tcW w:type="dxa" w:w="3528"/>
            <w:vAlign w:val="top"/>
          </w:tcPr>
          <w:p>
            <w:r>
              <w:t>clean_text→chunk_id、tokens、metadata_json</w:t>
            </w:r>
          </w:p>
        </w:tc>
        <w:tc>
          <w:tcPr>
            <w:tcW w:type="dxa" w:w="3888"/>
            <w:vAlign w:val="top"/>
          </w:tcPr>
          <w:p>
            <w:r>
              <w:t>chunk写入SQLite后更新chunks计数。</w:t>
            </w:r>
          </w:p>
        </w:tc>
      </w:tr>
      <w:tr>
        <w:tc>
          <w:tcPr>
            <w:tcW w:type="dxa" w:w="1944"/>
            <w:vAlign w:val="top"/>
          </w:tcPr>
          <w:p>
            <w:r>
              <w:t>抽取</w:t>
            </w:r>
          </w:p>
        </w:tc>
        <w:tc>
          <w:tcPr>
            <w:tcW w:type="dxa" w:w="3528"/>
            <w:vAlign w:val="top"/>
          </w:tcPr>
          <w:p>
            <w:r>
              <w:t>chunk→entities_json、relations_json</w:t>
            </w:r>
          </w:p>
        </w:tc>
        <w:tc>
          <w:tcPr>
            <w:tcW w:type="dxa" w:w="3888"/>
            <w:vAlign w:val="top"/>
          </w:tcPr>
          <w:p>
            <w:r>
              <w:t>实体和关系增量进入知识树与图谱。</w:t>
            </w:r>
          </w:p>
        </w:tc>
      </w:tr>
      <w:tr>
        <w:tc>
          <w:tcPr>
            <w:tcW w:type="dxa" w:w="1944"/>
            <w:vAlign w:val="top"/>
          </w:tcPr>
          <w:p>
            <w:r>
              <w:t>规则融合</w:t>
            </w:r>
          </w:p>
        </w:tc>
        <w:tc>
          <w:tcPr>
            <w:tcW w:type="dxa" w:w="3528"/>
            <w:vAlign w:val="top"/>
          </w:tcPr>
          <w:p>
            <w:r>
              <w:t>answer claim和反馈→rules.json</w:t>
            </w:r>
          </w:p>
        </w:tc>
        <w:tc>
          <w:tcPr>
            <w:tcW w:type="dxa" w:w="3888"/>
            <w:vAlign w:val="top"/>
          </w:tcPr>
          <w:p>
            <w:r>
              <w:t>相似规则合并，保留精炼规则和证据来源。</w:t>
            </w:r>
          </w:p>
        </w:tc>
      </w:tr>
    </w:tbl>
    <w:p>
      <w:r>
        <w:rPr>
          <w:b/>
        </w:rPr>
        <w:t>实施例3：证据优先问答、长上下文会话、动态图谱交互和报告输出</w:t>
      </w:r>
    </w:p>
    <w:p>
      <w:r>
        <w:rPr>
          <w:b w:val="0"/>
        </w:rPr>
        <w:t>[0039] 本实施例给出一次完整问答的运行过程。用户在前端输入问题后，系统先读取当前session的temporary_memory、recent turns和已融合rules，生成contextual query；随后执行BM25检索、稠密向量检索、实体扩展检索和图谱邻域检索，并按S=w1*S_bm25+w2*S_dense+w3*S_entity+w4*S_graph+w5*S_recency+w6*S_quality重排。若后台摄取仍在运行，系统在query结果中附带ingest_coverage，说明当前回答基于已完成文档还是完整知识库。</w:t>
      </w:r>
    </w:p>
    <w:p>
      <w:r>
        <w:rPr>
          <w:b w:val="0"/>
        </w:rPr>
        <w:t>[0040] LLM生成回答前，prompt明确要求正文不插入[E1]、[E2]、source id、chunk id或文件名；回答生成后，claim splitter按句号、分号和换行拆分answer claim，并对每个claim计算与top chunks的关键词重合、实体重合和向量相似度。能由单个chunk支撑的claim标记为document，需要两个以上chunk综合的claim标记为inferred，无法在文档中找到支撑但属于模型常识的claim标记为model_prior，明显缺证据或与证据冲突的claim标记为unsupported。</w:t>
      </w:r>
    </w:p>
    <w:p>
      <w:r>
        <w:rPr>
          <w:b w:val="0"/>
        </w:rPr>
        <w:t>[0041] 后端返回结构包括session_id、query_id、answer、answer_claims、citations和evidence_graph。evidence_graph包括query节点、entity节点、retrieved_chunk节点、document节点、section节点、answer_claim节点、model_prior节点和unsupported节点；边包括mentions、retrieves、contains、supports、derived_from和follow_up。当前问题视角只显示本轮query到claim的路径，完整会话视角显示Q1→Evidence→Claim→Q2→Evidence→Claim的累积路径；点击任一证据节点可查看文件名、页码、章节、score、chunk_id和原文片段。</w:t>
      </w:r>
    </w:p>
    <w:p>
      <w:r>
        <w:rPr>
          <w:b w:val="0"/>
        </w:rPr>
        <w:t>[0042] 前端采用Apple风格三栏界面。最左侧为历史对话列表，支持新建、载入、删除和显示当前对话记忆摘要；中间区域显示专业回答、证据链图和回答claim来源标记；右侧区域显示上传状态、动态知识树和动态图谱。知识树画布支持滚轮缩放、拖拽平移、Fit、Reset、冻结、截图、HD SVG和Word导出；提问时的分析节点会临时叠加到右侧图谱中，后台摄取每完成一篇文档也会同步增量刷新右侧图谱。</w:t>
      </w:r>
    </w:p>
    <w:p>
      <w:r>
        <w:rPr>
          <w:b w:val="0"/>
        </w:rPr>
        <w:t>[0043] 语音交互模块调用浏览器speechSynthesis和SpeechRecognition能力，语音提问结果写入同一query输入框；朗读按钮仅读取data-answer-main中的专业回答正文，前端cleanAnswerTextForSpeech会删除证据链标题、E编号、score、文件名、chunk id和UI按钮文字；语速滑块控制rate参数，停止朗读按钮调用speechSynthesis.cancel。报告导出模块把answer、answer_claims、citations、evidence_graph摘要、知识树截图和动态图谱截图写入Word报告。</w:t>
      </w:r>
    </w:p>
    <w:p>
      <w:r>
        <w:rPr>
          <w:b w:val="0"/>
        </w:rPr>
        <w:t>[0044] 复现验收时，依次执行Setup-NewComputer.ps1、Start-Portable.ps1、访问/health、上传测试ZIP、观察IngestJob进度、刷新/api/knowledge/tree、提问并检查/api/query返回的answer_claims和source_type、载入历史对话、删除历史对话、重置知识树、导出HD SVG和Word报告。若未配置API key，系统应显示provider未配置并禁用云端推理，而不是崩溃；若配置Kimi或OpenAI-compatible key，系统应通过同一provider接口执行分块摘要、检索增强和回答生成。</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tcPr>
          <w:p>
            <w:r>
              <w:rPr>
                <w:b/>
              </w:rPr>
              <w:t>前端区域</w:t>
            </w:r>
          </w:p>
        </w:tc>
        <w:tc>
          <w:tcPr>
            <w:tcW w:type="dxa" w:w="3528"/>
            <w:vAlign w:val="center"/>
          </w:tcPr>
          <w:p>
            <w:r>
              <w:rPr>
                <w:b/>
              </w:rPr>
              <w:t>主要能力</w:t>
            </w:r>
          </w:p>
        </w:tc>
        <w:tc>
          <w:tcPr>
            <w:tcW w:type="dxa" w:w="3888"/>
            <w:vAlign w:val="center"/>
          </w:tcPr>
          <w:p>
            <w:r>
              <w:rPr>
                <w:b/>
              </w:rPr>
              <w:t>验收标准</w:t>
            </w:r>
          </w:p>
        </w:tc>
      </w:tr>
      <w:tr>
        <w:tc>
          <w:tcPr>
            <w:tcW w:type="dxa" w:w="1944"/>
            <w:vAlign w:val="top"/>
          </w:tcPr>
          <w:p>
            <w:r>
              <w:t>历史对话栏</w:t>
            </w:r>
          </w:p>
        </w:tc>
        <w:tc>
          <w:tcPr>
            <w:tcW w:type="dxa" w:w="3528"/>
            <w:vAlign w:val="top"/>
          </w:tcPr>
          <w:p>
            <w:r>
              <w:t>新建、载入、删除、显示记忆摘要</w:t>
            </w:r>
          </w:p>
        </w:tc>
        <w:tc>
          <w:tcPr>
            <w:tcW w:type="dxa" w:w="3888"/>
            <w:vAlign w:val="top"/>
          </w:tcPr>
          <w:p>
            <w:r>
              <w:t>单击历史对话可恢复turns、answer和证据链。</w:t>
            </w:r>
          </w:p>
        </w:tc>
      </w:tr>
      <w:tr>
        <w:tc>
          <w:tcPr>
            <w:tcW w:type="dxa" w:w="1944"/>
            <w:vAlign w:val="top"/>
          </w:tcPr>
          <w:p>
            <w:r>
              <w:t>回答区</w:t>
            </w:r>
          </w:p>
        </w:tc>
        <w:tc>
          <w:tcPr>
            <w:tcW w:type="dxa" w:w="3528"/>
            <w:vAlign w:val="top"/>
          </w:tcPr>
          <w:p>
            <w:r>
              <w:t>专业回答、source_type标记、证据链图</w:t>
            </w:r>
          </w:p>
        </w:tc>
        <w:tc>
          <w:tcPr>
            <w:tcW w:type="dxa" w:w="3888"/>
            <w:vAlign w:val="top"/>
          </w:tcPr>
          <w:p>
            <w:r>
              <w:t>回答正文不含E编号，证据只在证据链展示。</w:t>
            </w:r>
          </w:p>
        </w:tc>
      </w:tr>
      <w:tr>
        <w:tc>
          <w:tcPr>
            <w:tcW w:type="dxa" w:w="1944"/>
            <w:vAlign w:val="top"/>
          </w:tcPr>
          <w:p>
            <w:r>
              <w:t>右侧图谱区</w:t>
            </w:r>
          </w:p>
        </w:tc>
        <w:tc>
          <w:tcPr>
            <w:tcW w:type="dxa" w:w="3528"/>
            <w:vAlign w:val="top"/>
          </w:tcPr>
          <w:p>
            <w:r>
              <w:t>上传进度、动态知识树、动态图谱</w:t>
            </w:r>
          </w:p>
        </w:tc>
        <w:tc>
          <w:tcPr>
            <w:tcW w:type="dxa" w:w="3888"/>
            <w:vAlign w:val="top"/>
          </w:tcPr>
          <w:p>
            <w:r>
              <w:t>摄取和问答都会实时改变图谱节点。</w:t>
            </w:r>
          </w:p>
        </w:tc>
      </w:tr>
      <w:tr>
        <w:tc>
          <w:tcPr>
            <w:tcW w:type="dxa" w:w="1944"/>
            <w:vAlign w:val="top"/>
          </w:tcPr>
          <w:p>
            <w:r>
              <w:t>语音与导出</w:t>
            </w:r>
          </w:p>
        </w:tc>
        <w:tc>
          <w:tcPr>
            <w:tcW w:type="dxa" w:w="3528"/>
            <w:vAlign w:val="top"/>
          </w:tcPr>
          <w:p>
            <w:r>
              <w:t>语速、朗读、停止、截图、HD SVG、Word报告</w:t>
            </w:r>
          </w:p>
        </w:tc>
        <w:tc>
          <w:tcPr>
            <w:tcW w:type="dxa" w:w="3888"/>
            <w:vAlign w:val="top"/>
          </w:tcPr>
          <w:p>
            <w:r>
              <w:t>朗读只读正文，导出文件包含证据来源。</w:t>
            </w:r>
          </w:p>
        </w:tc>
      </w:tr>
    </w:tbl>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r>
        <w:t>（12）可迁移部署降低交付成本：通过环境自检、外置配置、启动脚本和统一目录结构，项目复制到新计算机后可快速完成依赖检测、端口检测、目录权限检测和模型服务检测，减少人工排查部署问题的时间。</w:t>
      </w:r>
    </w:p>
    <w:p>
      <w:r>
        <w:t>（13）批量上传和后台摄取改善大量文档导入体验：小文件批量合并、大文件分块并发、ZIP安全解包和后台摄取任务相结合，使一百个以上文档的接收、排队和状态反馈能够快速完成，耗时解析和索引计算在后台继续执行。</w:t>
      </w:r>
    </w:p>
    <w:p>
      <w:r>
        <w:t>（14）Prezi式动态图谱提升知识浏览效率：通过连续缩放、焦点展开、标签避让、低相关节点折叠和路径高亮，降低图谱节点重叠和信息遮挡，使工程人员能够从全局知识树平滑进入局部证据链。</w:t>
      </w:r>
    </w:p>
    <w:p>
      <w:r>
        <w:t>（15）语音交互降低操作门槛：语音提问、语音讲解和任务中断机制使维修培训、资料讲解和会议评审场景中可通过自然语言快速访问证据锚定答案，同时避免过时朗读或未完成上传继续占用资源。</w:t>
      </w:r>
    </w:p>
    <w:p>
      <w:r>
        <w:t>（16）本地快速索引提高离线可用性：在远程嵌入服务不可用、API Key未配置或内网离线部署时，系统仍可通过BM25索引和本地向量索引提供快速检索和图谱浏览，并在服务恢复后补充重建高精度索引。</w:t>
      </w:r>
    </w:p>
    <w:p>
      <w:pPr/>
      <w:r>
        <w:rPr>
          <w:b w:val="0"/>
        </w:rPr>
        <w:t>（17）实时摄取锁定提高结论可靠性：系统在资料尚未全部分析完成时阻止生成最终问答，避免基于局部文档产生误导性证据链；同时按已完成文档实时刷新知识树，既保证进度透明，又保证最终回答建立在完整摄取后的知识库之上。</w:t>
      </w:r>
    </w:p>
    <w:p>
      <w:pPr/>
      <w:r>
        <w:rPr>
          <w:b w:val="0"/>
        </w:rPr>
        <w:t>（18）会话级记忆提升连续追问能力：长上下文摘要、临时记忆和会话证据图谱使系统能够理解“刚才、这些文档、它们、继续分析”等省略表达，并把每轮追问挂接到上一轮Query、Evidence或Claim节点，形成可审计的多轮分析轨迹。</w:t>
      </w:r>
    </w:p>
    <w:p>
      <w:pPr/>
      <w:r>
        <w:rPr>
          <w:b w:val="0"/>
        </w:rPr>
        <w:t>（19）来源类型显式区分降低幻觉风险：document、inferred、web_search、model_prior和unsupported五类来源在后端数据结构和前端颜色中同时标注，禁止把模型常识或无支持内容伪装成文档证据。</w:t>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pPr/>
      <w:r>
        <w:t>图16：可迁移部署与环境自检流程图，展示项目包复制、新电脑运行时检测、外部密钥配置、端口检测、目录权限检测和健康检查的流程。</w:t>
      </w:r>
    </w:p>
    <w:p>
      <w:pPr/>
      <w:r>
        <w:t>图17：Prezi式动态知识图谱交互示意图，展示知识树入口、焦点节点、连续缩放视野、局部邻域展开、标签避让和路径高亮效果。</w:t>
      </w:r>
    </w:p>
    <w:p>
      <w:pPr/>
      <w:r>
        <w:t>图18：批量上传、ZIP安全解包与后台摄取流程图，展示批量请求、分块并发、取消上传、原始文件保存、隔离解压、任务排队和后台索引重建。</w:t>
      </w:r>
    </w:p>
    <w:p>
      <w:pPr/>
      <w:r>
        <w:t>图19：语音交互与语音讲解流程图，展示语音识别、文本查询、证据锚定回答、语音合成朗读和任务中断控制。</w:t>
      </w:r>
    </w:p>
    <w:p>
      <w:pPr/>
      <w:r>
        <w:t>图20：本地快速索引与后台重建流程图，展示BM25索引、本地向量索引、远程嵌入可选调用、缓存刷新和降级审计。</w:t>
      </w:r>
    </w:p>
    <w:p>
      <w:r>
        <w:br w:type="page"/>
      </w:r>
    </w:p>
    <w:p>
      <w:pPr/>
      <w:r>
        <w:rPr>
          <w:b w:val="0"/>
        </w:rPr>
        <w:t>图21：高吞吐后台摄取与实时提交流程图，展示批量上传、分块上传、后台任务、按文档提交SQLite、进度轮询和动态树图刷新的关系。</w:t>
      </w:r>
    </w:p>
    <w:p>
      <w:pPr/>
      <w:r>
        <w:rPr>
          <w:b w:val="0"/>
        </w:rPr>
        <w:t>图22：问答锁定与半成品知识库保护流程图，展示摄取running状态、按钮锁定、提示信息、摄取完成和问答解锁的状态转换。</w:t>
      </w:r>
    </w:p>
    <w:p>
      <w:pPr/>
      <w:r>
        <w:rPr>
          <w:b w:val="0"/>
        </w:rPr>
        <w:t>图23：会话级证据链和长上下文记忆结构图，展示session_id、turns、summary、temporary_memory、nodes、edges和follow_up边的组织方式。</w:t>
      </w:r>
    </w:p>
    <w:p>
      <w:pPr/>
      <w:r>
        <w:rPr>
          <w:b w:val="0"/>
        </w:rPr>
        <w:t>图24：当前问答分析分支叠加动态图，展示Query、Entity、Evidence、Claim如何作为临时分支叠加到右下方知识树、树状图和知识图谱。</w:t>
      </w:r>
    </w:p>
    <w:p>
      <w:pPr/>
      <w:r>
        <w:rPr>
          <w:b w:val="0"/>
        </w:rPr>
        <w:t>图25：来源类型provenance着色图，展示document、inferred、web_search、model_prior和unsupported在证据链和节点详情中的区分显示。</w:t>
      </w:r>
    </w:p>
    <w:p>
      <w:pPr/>
      <w:r>
        <w:rPr>
          <w:b w:val="0"/>
        </w:rPr>
        <w:t>图26：迁移包安全检查流程图，展示打包排除.env、.venv、runtime、backups、缓存和密钥文件，以及新电脑启动自检和健康检查过程。</w:t>
      </w:r>
    </w:p>
    <w:p>
      <w:pPr>
        <w:pStyle w:val="Heading1"/>
      </w:pPr>
      <w:r>
        <w:t>第七部分：摘要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r>
              <w:t>合并后实施例位置</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r>
              <w:t>权利要求1、2、3</w:t>
            </w:r>
          </w:p>
        </w:tc>
        <w:tc>
          <w:tcPr>
            <w:tcW w:type="dxa" w:w="1769"/>
            <w:vAlign w:val="center"/>
          </w:tcPr>
          <w:p>
            <w:r>
              <w:t>实施例2[0034]-[0036]</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r>
              <w:t>权利要求1、3、6</w:t>
            </w:r>
          </w:p>
        </w:tc>
        <w:tc>
          <w:tcPr>
            <w:tcW w:type="dxa" w:w="1769"/>
            <w:vAlign w:val="center"/>
          </w:tcPr>
          <w:p>
            <w:r>
              <w:t>实施例2[0035]-[0036]</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r>
              <w:t>权利要求3、4、5</w:t>
            </w:r>
          </w:p>
        </w:tc>
        <w:tc>
          <w:tcPr>
            <w:tcW w:type="dxa" w:w="1769"/>
            <w:vAlign w:val="center"/>
          </w:tcPr>
          <w:p>
            <w:r>
              <w:t>实施例3[0039]-[0041]</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r>
              <w:t>权利要求4、5、6</w:t>
            </w:r>
          </w:p>
        </w:tc>
        <w:tc>
          <w:tcPr>
            <w:tcW w:type="dxa" w:w="1769"/>
            <w:vAlign w:val="center"/>
          </w:tcPr>
          <w:p>
            <w:r>
              <w:t>实施例2[0036]；实施例3[0040]-[0041]</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r>
              <w:t>权利要求5</w:t>
            </w:r>
          </w:p>
        </w:tc>
        <w:tc>
          <w:tcPr>
            <w:tcW w:type="dxa" w:w="1769"/>
            <w:vAlign w:val="center"/>
          </w:tcPr>
          <w:p>
            <w:r>
              <w:t>实施例3[0040]-[0041]</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r>
              <w:t>权利要求6、10</w:t>
            </w:r>
          </w:p>
        </w:tc>
        <w:tc>
          <w:tcPr>
            <w:tcW w:type="dxa" w:w="1769"/>
            <w:vAlign w:val="center"/>
          </w:tcPr>
          <w:p>
            <w:r>
              <w:t>实施例2[0036]-[0038]；实施例3[0042]</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r>
              <w:t>权利要求6</w:t>
            </w:r>
          </w:p>
        </w:tc>
        <w:tc>
          <w:tcPr>
            <w:tcW w:type="dxa" w:w="1769"/>
            <w:vAlign w:val="center"/>
          </w:tcPr>
          <w:p>
            <w:r>
              <w:t>实施例2[0035]-[0037]</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r>
              <w:t>权利要求4、5</w:t>
            </w:r>
          </w:p>
        </w:tc>
        <w:tc>
          <w:tcPr>
            <w:tcW w:type="dxa" w:w="1769"/>
            <w:vAlign w:val="center"/>
          </w:tcPr>
          <w:p>
            <w:r>
              <w:t>实施例3[0039]-[0041]</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r>
              <w:t>权利要求4、7</w:t>
            </w:r>
          </w:p>
        </w:tc>
        <w:tc>
          <w:tcPr>
            <w:tcW w:type="dxa" w:w="1769"/>
            <w:vAlign w:val="center"/>
          </w:tcPr>
          <w:p>
            <w:r>
              <w:t>实施例3[0039]-[0041]</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r>
              <w:t>权利要求7、9</w:t>
            </w:r>
          </w:p>
        </w:tc>
        <w:tc>
          <w:tcPr>
            <w:tcW w:type="dxa" w:w="1769"/>
            <w:vAlign w:val="center"/>
          </w:tcPr>
          <w:p>
            <w:r>
              <w:t>实施例3[0039]；实施例2[0038]</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r>
              <w:t>权利要求11</w:t>
            </w:r>
          </w:p>
        </w:tc>
        <w:tc>
          <w:tcPr>
            <w:tcW w:type="dxa" w:w="1769"/>
            <w:vAlign w:val="center"/>
          </w:tcPr>
          <w:p>
            <w:r>
              <w:t>实施例1[0030]-[0033]</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r>
              <w:t>权利要求10</w:t>
            </w:r>
          </w:p>
        </w:tc>
        <w:tc>
          <w:tcPr>
            <w:tcW w:type="dxa" w:w="1769"/>
            <w:vAlign w:val="center"/>
          </w:tcPr>
          <w:p>
            <w:r>
              <w:t>实施例3[0042]-[0043]</w:t>
            </w:r>
          </w:p>
        </w:tc>
        <w:tc>
          <w:tcPr>
            <w:tcW w:type="dxa" w:w="1769"/>
            <w:vAlign w:val="center"/>
          </w:tcPr>
          <w:p>
            <w:r>
              <w:t>图15、图17、图19</w:t>
            </w:r>
          </w:p>
        </w:tc>
        <w:tc>
          <w:tcPr>
            <w:tcW w:type="dxa" w:w="1769"/>
            <w:vAlign w:val="center"/>
          </w:tcPr>
          <w:p>
            <w:r>
              <w:t>web/index.html；web/app.js；web/style.css；人工复核</w:t>
            </w:r>
          </w:p>
        </w:tc>
      </w:tr>
      <w:tr>
        <w:tc>
          <w:tcPr>
            <w:tcW w:type="dxa" w:w="1769"/>
          </w:tcPr>
          <w:p>
            <w:r>
              <w:t>可迁移部署与环境自检</w:t>
            </w:r>
          </w:p>
        </w:tc>
        <w:tc>
          <w:tcPr>
            <w:tcW w:type="dxa" w:w="1769"/>
          </w:tcPr>
          <w:p>
            <w:r>
              <w:t>权利要求11、12</w:t>
            </w:r>
          </w:p>
        </w:tc>
        <w:tc>
          <w:tcPr>
            <w:tcW w:type="dxa" w:w="1769"/>
          </w:tcPr>
          <w:p>
            <w:r>
              <w:t>实施例1[0030]-[0033]；实施例3[0044]</w:t>
            </w:r>
          </w:p>
        </w:tc>
        <w:tc>
          <w:tcPr>
            <w:tcW w:type="dxa" w:w="1769"/>
          </w:tcPr>
          <w:p>
            <w:r>
              <w:t>图16</w:t>
            </w:r>
          </w:p>
        </w:tc>
        <w:tc>
          <w:tcPr>
            <w:tcW w:type="dxa" w:w="1769"/>
          </w:tcPr>
          <w:p>
            <w:r>
              <w:t>Setup-NewComputer.ps1；Start-Portable.ps1；config.yaml；.env.example</w:t>
            </w:r>
          </w:p>
        </w:tc>
      </w:tr>
      <w:tr>
        <w:tc>
          <w:tcPr>
            <w:tcW w:type="dxa" w:w="1769"/>
          </w:tcPr>
          <w:p>
            <w:r>
              <w:t>高速上传、ZIP解包与中断</w:t>
            </w:r>
          </w:p>
        </w:tc>
        <w:tc>
          <w:tcPr>
            <w:tcW w:type="dxa" w:w="1769"/>
          </w:tcPr>
          <w:p>
            <w:r>
              <w:t>权利要求2、10</w:t>
            </w:r>
          </w:p>
        </w:tc>
        <w:tc>
          <w:tcPr>
            <w:tcW w:type="dxa" w:w="1769"/>
          </w:tcPr>
          <w:p>
            <w:r>
              <w:t>实施例2[0034]；实施例3[0042]-[0043]</w:t>
            </w:r>
          </w:p>
        </w:tc>
        <w:tc>
          <w:tcPr>
            <w:tcW w:type="dxa" w:w="1769"/>
          </w:tcPr>
          <w:p>
            <w:r>
              <w:t>图18</w:t>
            </w:r>
          </w:p>
        </w:tc>
        <w:tc>
          <w:tcPr>
            <w:tcW w:type="dxa" w:w="1769"/>
          </w:tcPr>
          <w:p>
            <w:r>
              <w:t>src/backend/app.py；web/app.js；data/raw/_unzipped</w:t>
            </w:r>
          </w:p>
        </w:tc>
      </w:tr>
      <w:tr>
        <w:tc>
          <w:tcPr>
            <w:tcW w:type="dxa" w:w="1769"/>
          </w:tcPr>
          <w:p>
            <w:r>
              <w:t>Prezi式动态图谱</w:t>
            </w:r>
          </w:p>
        </w:tc>
        <w:tc>
          <w:tcPr>
            <w:tcW w:type="dxa" w:w="1769"/>
          </w:tcPr>
          <w:p>
            <w:r>
              <w:t>权利要求6、10</w:t>
            </w:r>
          </w:p>
        </w:tc>
        <w:tc>
          <w:tcPr>
            <w:tcW w:type="dxa" w:w="1769"/>
          </w:tcPr>
          <w:p>
            <w:r>
              <w:t>实施例2[0036]-[0037]；实施例3[0042]</w:t>
            </w:r>
          </w:p>
        </w:tc>
        <w:tc>
          <w:tcPr>
            <w:tcW w:type="dxa" w:w="1769"/>
          </w:tcPr>
          <w:p>
            <w:r>
              <w:t>图17</w:t>
            </w:r>
          </w:p>
        </w:tc>
        <w:tc>
          <w:tcPr>
            <w:tcW w:type="dxa" w:w="1769"/>
          </w:tcPr>
          <w:p>
            <w:r>
              <w:t>web/app.js；web/style.css；/knowledge/graph</w:t>
            </w:r>
          </w:p>
        </w:tc>
      </w:tr>
      <w:tr>
        <w:tc>
          <w:tcPr>
            <w:tcW w:type="dxa" w:w="1769"/>
          </w:tcPr>
          <w:p>
            <w:r>
              <w:t>语音交互与中断</w:t>
            </w:r>
          </w:p>
        </w:tc>
        <w:tc>
          <w:tcPr>
            <w:tcW w:type="dxa" w:w="1769"/>
          </w:tcPr>
          <w:p>
            <w:r>
              <w:t>权利要求10</w:t>
            </w:r>
          </w:p>
        </w:tc>
        <w:tc>
          <w:tcPr>
            <w:tcW w:type="dxa" w:w="1769"/>
          </w:tcPr>
          <w:p>
            <w:r>
              <w:t>实施例3[0043]</w:t>
            </w:r>
          </w:p>
        </w:tc>
        <w:tc>
          <w:tcPr>
            <w:tcW w:type="dxa" w:w="1769"/>
          </w:tcPr>
          <w:p>
            <w:r>
              <w:t>图19</w:t>
            </w:r>
          </w:p>
        </w:tc>
        <w:tc>
          <w:tcPr>
            <w:tcW w:type="dxa" w:w="1769"/>
          </w:tcPr>
          <w:p>
            <w:r>
              <w:t>Web Speech API；前端中断控制</w:t>
            </w:r>
          </w:p>
        </w:tc>
      </w:tr>
      <w:tr>
        <w:tc>
          <w:tcPr>
            <w:tcW w:type="dxa" w:w="1769"/>
          </w:tcPr>
          <w:p>
            <w:r>
              <w:t>本地快速索引</w:t>
            </w:r>
          </w:p>
        </w:tc>
        <w:tc>
          <w:tcPr>
            <w:tcW w:type="dxa" w:w="1769"/>
          </w:tcPr>
          <w:p>
            <w:r>
              <w:t>权利要求4、12</w:t>
            </w:r>
          </w:p>
        </w:tc>
        <w:tc>
          <w:tcPr>
            <w:tcW w:type="dxa" w:w="1769"/>
          </w:tcPr>
          <w:p>
            <w:r>
              <w:t>实施例1[0031]；实施例3[0039]-[0044]</w:t>
            </w:r>
          </w:p>
        </w:tc>
        <w:tc>
          <w:tcPr>
            <w:tcW w:type="dxa" w:w="1769"/>
          </w:tcPr>
          <w:p>
            <w:r>
              <w:t>图20</w:t>
            </w:r>
          </w:p>
        </w:tc>
        <w:tc>
          <w:tcPr>
            <w:tcW w:type="dxa" w:w="1769"/>
          </w:tcPr>
          <w:p>
            <w:r>
              <w:t>remote_embeddings；DenseRetriever；ingest_job</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r>
        <w:t>图16：可迁移部署与环境自检流程图。</w:t>
      </w:r>
    </w:p>
    <w:p>
      <w:pPr/>
      <w:r>
        <w:t>图17：Prezi式动态知识图谱交互示意图。</w:t>
      </w:r>
    </w:p>
    <w:p>
      <w:pPr/>
      <w:r>
        <w:t>图18：批量上传、ZIP安全解包与后台摄取流程图。</w:t>
      </w:r>
    </w:p>
    <w:p>
      <w:pPr/>
      <w:r>
        <w:t>图19：语音交互与语音讲解流程图。</w:t>
      </w:r>
    </w:p>
    <w:p>
      <w:pPr/>
      <w:r>
        <w:t>图20：本地快速索引与后台重建流程图。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一种面向民机适航认证的本体约束型知识图谱构建与证据锚定分析方法（技术架构实现增强版）</dc:title>
  <dc:subject>可迁移部署、动态知识图谱、批量上传、语音交互、本地快速索引</dc:subject>
  <dc:creator>python-docx</dc:creator>
  <cp:keywords/>
  <dc:description>根据最新前后端技术架构和实现范式增补。</dc:description>
  <cp:lastModifiedBy/>
  <cp:revision>1</cp:revision>
  <dcterms:created xsi:type="dcterms:W3CDTF">2013-12-23T23:15:00Z</dcterms:created>
  <dcterms:modified xsi:type="dcterms:W3CDTF">2013-12-23T23:15:00Z</dcterms:modified>
  <cp:category/>
</cp:coreProperties>
</file>