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9FC" w:rsidRDefault="00E429FC" w:rsidP="00E429FC">
      <w:pPr>
        <w:pStyle w:val="Ttulo"/>
        <w:jc w:val="center"/>
        <w:rPr>
          <w:sz w:val="22"/>
        </w:rPr>
      </w:pPr>
      <w:r>
        <w:rPr>
          <w:sz w:val="22"/>
        </w:rPr>
        <w:t>Universidade do Minho</w:t>
      </w:r>
    </w:p>
    <w:p w:rsidR="00E429FC" w:rsidRPr="00E429FC" w:rsidRDefault="00E429FC" w:rsidP="00E429FC">
      <w:pPr>
        <w:pStyle w:val="Ttulo"/>
        <w:jc w:val="center"/>
        <w:rPr>
          <w:sz w:val="22"/>
        </w:rPr>
      </w:pPr>
      <w:r w:rsidRPr="00E429FC">
        <w:rPr>
          <w:sz w:val="22"/>
        </w:rPr>
        <w:t>2ºsemestre 2018/19</w:t>
      </w:r>
    </w:p>
    <w:p w:rsidR="00E429FC" w:rsidRDefault="00E429FC" w:rsidP="00E429FC">
      <w:pPr>
        <w:pStyle w:val="Ttulo"/>
        <w:jc w:val="center"/>
        <w:rPr>
          <w:sz w:val="22"/>
        </w:rPr>
      </w:pPr>
      <w:r w:rsidRPr="00E429FC">
        <w:rPr>
          <w:sz w:val="22"/>
        </w:rPr>
        <w:t>(MIEI,3ºAno)</w:t>
      </w:r>
    </w:p>
    <w:p w:rsidR="00E429FC" w:rsidRDefault="00E429FC" w:rsidP="00E429FC"/>
    <w:p w:rsidR="00E429FC" w:rsidRDefault="00E429FC" w:rsidP="00E429FC"/>
    <w:p w:rsidR="00E429FC" w:rsidRDefault="00E429FC" w:rsidP="00E429FC"/>
    <w:p w:rsidR="00E429FC" w:rsidRPr="00E429FC" w:rsidRDefault="00E429FC" w:rsidP="00E429FC"/>
    <w:p w:rsidR="00E429FC" w:rsidRDefault="00E429FC" w:rsidP="00E429FC">
      <w:pPr>
        <w:pStyle w:val="Ttulo"/>
        <w:jc w:val="center"/>
        <w:rPr>
          <w:rFonts w:ascii="Arial" w:hAnsi="Arial" w:cs="Arial"/>
          <w:sz w:val="40"/>
        </w:rPr>
      </w:pPr>
    </w:p>
    <w:p w:rsidR="00E429FC" w:rsidRDefault="00E429FC" w:rsidP="00E429FC">
      <w:pPr>
        <w:pStyle w:val="Ttulo"/>
        <w:jc w:val="center"/>
        <w:rPr>
          <w:rFonts w:ascii="Arial" w:hAnsi="Arial" w:cs="Arial"/>
          <w:sz w:val="40"/>
        </w:rPr>
      </w:pPr>
    </w:p>
    <w:p w:rsidR="00E429FC" w:rsidRPr="00E429FC" w:rsidRDefault="00E429FC" w:rsidP="00E429FC">
      <w:pPr>
        <w:pStyle w:val="Ttulo"/>
        <w:jc w:val="center"/>
        <w:rPr>
          <w:rFonts w:ascii="Arial" w:hAnsi="Arial" w:cs="Arial"/>
          <w:sz w:val="40"/>
        </w:rPr>
      </w:pPr>
      <w:r w:rsidRPr="00E429FC">
        <w:rPr>
          <w:rFonts w:ascii="Arial" w:hAnsi="Arial" w:cs="Arial"/>
          <w:sz w:val="40"/>
        </w:rPr>
        <w:t>Modelos Estocásticos de Investigação Operacional</w:t>
      </w:r>
    </w:p>
    <w:p w:rsidR="00E429FC" w:rsidRPr="00E429FC" w:rsidRDefault="00E429FC" w:rsidP="00E429FC">
      <w:pPr>
        <w:pStyle w:val="Ttulo"/>
        <w:jc w:val="center"/>
        <w:rPr>
          <w:sz w:val="44"/>
          <w:u w:val="single"/>
        </w:rPr>
      </w:pPr>
      <w:r>
        <w:rPr>
          <w:sz w:val="44"/>
          <w:u w:val="single"/>
        </w:rPr>
        <w:t>Trabalho Prático</w:t>
      </w:r>
    </w:p>
    <w:p w:rsidR="00E429FC" w:rsidRDefault="00E429FC" w:rsidP="00E429FC"/>
    <w:p w:rsidR="00E429FC" w:rsidRPr="00E429FC" w:rsidRDefault="00E429FC" w:rsidP="00E429FC">
      <w:pPr>
        <w:pStyle w:val="Subttulo"/>
        <w:jc w:val="center"/>
      </w:pPr>
      <w:r>
        <w:t>(Problema de Gestão de Inventários)</w:t>
      </w:r>
    </w:p>
    <w:p w:rsidR="008F0A1D" w:rsidRDefault="008F0A1D" w:rsidP="008F0A1D">
      <w:pPr>
        <w:jc w:val="both"/>
      </w:pPr>
    </w:p>
    <w:p w:rsidR="009C3BDC" w:rsidRDefault="009C3BDC" w:rsidP="008F0A1D">
      <w:pPr>
        <w:jc w:val="both"/>
      </w:pPr>
    </w:p>
    <w:p w:rsidR="009C3BDC" w:rsidRDefault="009C3BDC" w:rsidP="008F0A1D">
      <w:pPr>
        <w:jc w:val="both"/>
      </w:pPr>
    </w:p>
    <w:p w:rsidR="009C3BDC" w:rsidRDefault="009C3BDC" w:rsidP="008F0A1D">
      <w:pPr>
        <w:jc w:val="both"/>
      </w:pPr>
    </w:p>
    <w:p w:rsidR="009C3BDC" w:rsidRDefault="009C3BDC" w:rsidP="008F0A1D">
      <w:pPr>
        <w:jc w:val="both"/>
      </w:pPr>
    </w:p>
    <w:p w:rsidR="009C3BDC" w:rsidRDefault="009C3BDC" w:rsidP="008F0A1D">
      <w:pPr>
        <w:jc w:val="both"/>
      </w:pPr>
    </w:p>
    <w:p w:rsidR="009C3BDC" w:rsidRDefault="009C3BDC" w:rsidP="008F0A1D">
      <w:pPr>
        <w:jc w:val="both"/>
      </w:pPr>
    </w:p>
    <w:p w:rsidR="00E429FC" w:rsidRPr="00E429FC" w:rsidRDefault="00E429FC" w:rsidP="00E429FC">
      <w:pPr>
        <w:pStyle w:val="Subttulo"/>
        <w:jc w:val="center"/>
        <w:rPr>
          <w:b/>
          <w:i/>
          <w:u w:val="single"/>
        </w:rPr>
      </w:pPr>
      <w:r w:rsidRPr="00E429FC">
        <w:rPr>
          <w:b/>
          <w:i/>
          <w:u w:val="single"/>
        </w:rPr>
        <w:t>Identificação do Grupo de Trabalho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25"/>
        <w:gridCol w:w="4709"/>
        <w:gridCol w:w="3216"/>
      </w:tblGrid>
      <w:tr w:rsidR="00F37043" w:rsidTr="00E429FC">
        <w:tc>
          <w:tcPr>
            <w:tcW w:w="1435" w:type="dxa"/>
          </w:tcPr>
          <w:p w:rsidR="00E429FC" w:rsidRPr="009C3BDC" w:rsidRDefault="00E429FC" w:rsidP="008F0A1D">
            <w:pPr>
              <w:jc w:val="both"/>
              <w:rPr>
                <w:b/>
                <w:i/>
                <w:u w:val="single"/>
              </w:rPr>
            </w:pPr>
            <w:r w:rsidRPr="009C3BDC">
              <w:rPr>
                <w:b/>
                <w:i/>
                <w:u w:val="single"/>
              </w:rPr>
              <w:t>Número:</w:t>
            </w:r>
          </w:p>
        </w:tc>
        <w:tc>
          <w:tcPr>
            <w:tcW w:w="4798" w:type="dxa"/>
          </w:tcPr>
          <w:p w:rsidR="00E429FC" w:rsidRPr="009C3BDC" w:rsidRDefault="00E429FC" w:rsidP="008F0A1D">
            <w:pPr>
              <w:jc w:val="both"/>
              <w:rPr>
                <w:b/>
                <w:i/>
                <w:u w:val="single"/>
              </w:rPr>
            </w:pPr>
            <w:r w:rsidRPr="009C3BDC">
              <w:rPr>
                <w:b/>
                <w:i/>
                <w:u w:val="single"/>
              </w:rPr>
              <w:t>Nome Completo:</w:t>
            </w:r>
          </w:p>
        </w:tc>
        <w:tc>
          <w:tcPr>
            <w:tcW w:w="3117" w:type="dxa"/>
          </w:tcPr>
          <w:p w:rsidR="00E429FC" w:rsidRPr="009C3BDC" w:rsidRDefault="00E429FC" w:rsidP="008F0A1D">
            <w:pPr>
              <w:jc w:val="both"/>
              <w:rPr>
                <w:b/>
                <w:i/>
                <w:u w:val="single"/>
              </w:rPr>
            </w:pPr>
            <w:r w:rsidRPr="009C3BDC">
              <w:rPr>
                <w:b/>
                <w:i/>
                <w:u w:val="single"/>
              </w:rPr>
              <w:t>Rúb</w:t>
            </w:r>
            <w:r w:rsidR="00466BAE">
              <w:rPr>
                <w:b/>
                <w:i/>
                <w:u w:val="single"/>
              </w:rPr>
              <w:t>r</w:t>
            </w:r>
            <w:r w:rsidRPr="009C3BDC">
              <w:rPr>
                <w:b/>
                <w:i/>
                <w:u w:val="single"/>
              </w:rPr>
              <w:t>ica:</w:t>
            </w:r>
          </w:p>
        </w:tc>
      </w:tr>
      <w:tr w:rsidR="00F37043" w:rsidTr="00E429FC">
        <w:tc>
          <w:tcPr>
            <w:tcW w:w="1435" w:type="dxa"/>
          </w:tcPr>
          <w:p w:rsidR="00E429FC" w:rsidRDefault="00E429FC" w:rsidP="00E429FC">
            <w:pPr>
              <w:jc w:val="center"/>
            </w:pPr>
            <w:r>
              <w:t>A80229</w:t>
            </w:r>
          </w:p>
        </w:tc>
        <w:tc>
          <w:tcPr>
            <w:tcW w:w="4798" w:type="dxa"/>
          </w:tcPr>
          <w:p w:rsidR="00E429FC" w:rsidRDefault="00E429FC" w:rsidP="00E429FC">
            <w:pPr>
              <w:tabs>
                <w:tab w:val="left" w:pos="915"/>
              </w:tabs>
              <w:jc w:val="center"/>
            </w:pPr>
            <w:r>
              <w:t xml:space="preserve">Filipe Pimenta </w:t>
            </w:r>
            <w:r w:rsidR="00466BAE">
              <w:t>Oliveira</w:t>
            </w:r>
            <w:r>
              <w:t xml:space="preserve"> Monteiro</w:t>
            </w:r>
          </w:p>
        </w:tc>
        <w:tc>
          <w:tcPr>
            <w:tcW w:w="3117" w:type="dxa"/>
          </w:tcPr>
          <w:p w:rsidR="00E429FC" w:rsidRDefault="009C3BDC" w:rsidP="00E429F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42171" cy="1872828"/>
                  <wp:effectExtent l="8572" t="0" r="4763" b="4762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lip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51239" cy="191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043" w:rsidTr="00E429FC">
        <w:tc>
          <w:tcPr>
            <w:tcW w:w="1435" w:type="dxa"/>
          </w:tcPr>
          <w:p w:rsidR="00E429FC" w:rsidRDefault="00E429FC" w:rsidP="00E429FC">
            <w:pPr>
              <w:jc w:val="center"/>
            </w:pPr>
            <w:r>
              <w:t>A80453</w:t>
            </w:r>
          </w:p>
        </w:tc>
        <w:tc>
          <w:tcPr>
            <w:tcW w:w="4798" w:type="dxa"/>
          </w:tcPr>
          <w:p w:rsidR="00E429FC" w:rsidRDefault="00E429FC" w:rsidP="00E429FC">
            <w:pPr>
              <w:jc w:val="center"/>
            </w:pPr>
            <w:r>
              <w:t>Barbara Andreia Cardoso Ferreira</w:t>
            </w:r>
          </w:p>
        </w:tc>
        <w:tc>
          <w:tcPr>
            <w:tcW w:w="3117" w:type="dxa"/>
          </w:tcPr>
          <w:p w:rsidR="00E429FC" w:rsidRPr="00F37043" w:rsidRDefault="00F37043" w:rsidP="00E429F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0" cy="505151"/>
                  <wp:effectExtent l="0" t="0" r="0" b="952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arbara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868" cy="53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043" w:rsidTr="00E429FC">
        <w:tc>
          <w:tcPr>
            <w:tcW w:w="1435" w:type="dxa"/>
          </w:tcPr>
          <w:p w:rsidR="00E429FC" w:rsidRDefault="00466BAE" w:rsidP="00E429FC">
            <w:pPr>
              <w:jc w:val="center"/>
            </w:pPr>
            <w:r>
              <w:t>A83344</w:t>
            </w:r>
          </w:p>
          <w:p w:rsidR="00466BAE" w:rsidRDefault="00466BAE" w:rsidP="00466BAE"/>
        </w:tc>
        <w:tc>
          <w:tcPr>
            <w:tcW w:w="4798" w:type="dxa"/>
          </w:tcPr>
          <w:p w:rsidR="00E429FC" w:rsidRDefault="00E429FC" w:rsidP="00E429FC">
            <w:pPr>
              <w:jc w:val="center"/>
            </w:pPr>
            <w:r>
              <w:t>Eduardo Jorge Barbosa</w:t>
            </w:r>
          </w:p>
        </w:tc>
        <w:tc>
          <w:tcPr>
            <w:tcW w:w="3117" w:type="dxa"/>
          </w:tcPr>
          <w:p w:rsidR="00E429FC" w:rsidRDefault="00E429FC" w:rsidP="00E429F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85950" cy="390525"/>
                  <wp:effectExtent l="0" t="0" r="0" b="952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duard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336" cy="39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043" w:rsidTr="00E429FC">
        <w:tc>
          <w:tcPr>
            <w:tcW w:w="1435" w:type="dxa"/>
          </w:tcPr>
          <w:p w:rsidR="00E429FC" w:rsidRDefault="00E429FC" w:rsidP="00E429FC">
            <w:pPr>
              <w:jc w:val="center"/>
            </w:pPr>
            <w:r>
              <w:t>A80410</w:t>
            </w:r>
          </w:p>
        </w:tc>
        <w:tc>
          <w:tcPr>
            <w:tcW w:w="4798" w:type="dxa"/>
          </w:tcPr>
          <w:p w:rsidR="00E429FC" w:rsidRDefault="00E429FC" w:rsidP="00E429FC">
            <w:pPr>
              <w:jc w:val="center"/>
            </w:pPr>
            <w:r>
              <w:t>Bruno Manuel Chaves Martins</w:t>
            </w:r>
          </w:p>
        </w:tc>
        <w:tc>
          <w:tcPr>
            <w:tcW w:w="3117" w:type="dxa"/>
          </w:tcPr>
          <w:p w:rsidR="00E429FC" w:rsidRDefault="00E429FC" w:rsidP="00E429F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46997" cy="1880955"/>
                  <wp:effectExtent l="6668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RUNO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85369" cy="2042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5A7D" w:rsidRDefault="00AC5A7D">
      <w:bookmarkStart w:id="0" w:name="_GoBack"/>
      <w:bookmarkEnd w:id="0"/>
    </w:p>
    <w:sdt>
      <w:sdtPr>
        <w:id w:val="16364481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C5A7D" w:rsidRDefault="00AC5A7D" w:rsidP="00AC5A7D">
          <w:pPr>
            <w:pStyle w:val="CabealhodoSumrio"/>
          </w:pPr>
          <w:r>
            <w:t>Índice</w:t>
          </w:r>
        </w:p>
        <w:p w:rsidR="00AC5A7D" w:rsidRPr="00AC5A7D" w:rsidRDefault="00AC5A7D" w:rsidP="00AC5A7D">
          <w:pPr>
            <w:rPr>
              <w:lang w:eastAsia="pt-PT"/>
            </w:rPr>
          </w:pPr>
        </w:p>
        <w:p w:rsidR="00025FB4" w:rsidRDefault="00AC5A7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595798" w:history="1">
            <w:r w:rsidR="00025FB4" w:rsidRPr="0061427B">
              <w:rPr>
                <w:rStyle w:val="Hyperlink"/>
                <w:noProof/>
              </w:rPr>
              <w:t>1.</w:t>
            </w:r>
            <w:r w:rsidR="00025FB4">
              <w:rPr>
                <w:rFonts w:eastAsiaTheme="minorEastAsia"/>
                <w:noProof/>
                <w:lang w:eastAsia="pt-PT"/>
              </w:rPr>
              <w:tab/>
            </w:r>
            <w:r w:rsidR="00025FB4" w:rsidRPr="0061427B">
              <w:rPr>
                <w:rStyle w:val="Hyperlink"/>
                <w:noProof/>
              </w:rPr>
              <w:t>Introdução</w:t>
            </w:r>
            <w:r w:rsidR="00025FB4">
              <w:rPr>
                <w:noProof/>
                <w:webHidden/>
              </w:rPr>
              <w:tab/>
            </w:r>
            <w:r w:rsidR="00025FB4">
              <w:rPr>
                <w:noProof/>
                <w:webHidden/>
              </w:rPr>
              <w:fldChar w:fldCharType="begin"/>
            </w:r>
            <w:r w:rsidR="00025FB4">
              <w:rPr>
                <w:noProof/>
                <w:webHidden/>
              </w:rPr>
              <w:instrText xml:space="preserve"> PAGEREF _Toc8595798 \h </w:instrText>
            </w:r>
            <w:r w:rsidR="00025FB4">
              <w:rPr>
                <w:noProof/>
                <w:webHidden/>
              </w:rPr>
            </w:r>
            <w:r w:rsidR="00025FB4">
              <w:rPr>
                <w:noProof/>
                <w:webHidden/>
              </w:rPr>
              <w:fldChar w:fldCharType="separate"/>
            </w:r>
            <w:r w:rsidR="00025FB4">
              <w:rPr>
                <w:noProof/>
                <w:webHidden/>
              </w:rPr>
              <w:t>3</w:t>
            </w:r>
            <w:r w:rsidR="00025FB4">
              <w:rPr>
                <w:noProof/>
                <w:webHidden/>
              </w:rPr>
              <w:fldChar w:fldCharType="end"/>
            </w:r>
          </w:hyperlink>
        </w:p>
        <w:p w:rsidR="00025FB4" w:rsidRDefault="00025FB4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8595799" w:history="1">
            <w:r w:rsidRPr="0061427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1427B">
              <w:rPr>
                <w:rStyle w:val="Hyperlink"/>
                <w:noProof/>
              </w:rPr>
              <w:t>Formulação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FB4" w:rsidRDefault="00025FB4">
          <w:pPr>
            <w:pStyle w:val="Sum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8595800" w:history="1">
            <w:r w:rsidRPr="0061427B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1427B">
              <w:rPr>
                <w:rStyle w:val="Hyperlink"/>
                <w:noProof/>
              </w:rPr>
              <w:t>Variáveis e concessão do simulador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FB4" w:rsidRDefault="00025FB4">
          <w:pPr>
            <w:pStyle w:val="Sumrio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8595801" w:history="1">
            <w:r w:rsidRPr="0061427B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1427B">
              <w:rPr>
                <w:rStyle w:val="Hyperlink"/>
                <w:noProof/>
              </w:rPr>
              <w:t>Medidas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FB4" w:rsidRDefault="00025FB4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8595802" w:history="1">
            <w:r w:rsidRPr="0061427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1427B">
              <w:rPr>
                <w:rStyle w:val="Hyperlink"/>
                <w:noProof/>
              </w:rPr>
              <w:t>Simulação para o valor de 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FB4" w:rsidRDefault="00025FB4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8595803" w:history="1">
            <w:r w:rsidRPr="0061427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1427B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FB4" w:rsidRDefault="00025FB4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8595804" w:history="1">
            <w:r w:rsidRPr="0061427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1427B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A7D" w:rsidRDefault="00AC5A7D">
          <w:r>
            <w:rPr>
              <w:b/>
              <w:bCs/>
            </w:rPr>
            <w:fldChar w:fldCharType="end"/>
          </w:r>
        </w:p>
      </w:sdtContent>
    </w:sdt>
    <w:p w:rsidR="00025FB4" w:rsidRDefault="00AC5A7D">
      <w:pPr>
        <w:pStyle w:val="ndicedeilustraes"/>
        <w:tabs>
          <w:tab w:val="right" w:leader="dot" w:pos="9350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8595805" w:history="1">
        <w:r w:rsidR="00025FB4" w:rsidRPr="00202213">
          <w:rPr>
            <w:rStyle w:val="Hyperlink"/>
            <w:noProof/>
          </w:rPr>
          <w:t>Figura 1 - Fórmula do cálculo de s</w:t>
        </w:r>
        <w:r w:rsidR="00025FB4">
          <w:rPr>
            <w:noProof/>
            <w:webHidden/>
          </w:rPr>
          <w:tab/>
        </w:r>
        <w:r w:rsidR="00025FB4">
          <w:rPr>
            <w:noProof/>
            <w:webHidden/>
          </w:rPr>
          <w:fldChar w:fldCharType="begin"/>
        </w:r>
        <w:r w:rsidR="00025FB4">
          <w:rPr>
            <w:noProof/>
            <w:webHidden/>
          </w:rPr>
          <w:instrText xml:space="preserve"> PAGEREF _Toc8595805 \h </w:instrText>
        </w:r>
        <w:r w:rsidR="00025FB4">
          <w:rPr>
            <w:noProof/>
            <w:webHidden/>
          </w:rPr>
        </w:r>
        <w:r w:rsidR="00025FB4">
          <w:rPr>
            <w:noProof/>
            <w:webHidden/>
          </w:rPr>
          <w:fldChar w:fldCharType="separate"/>
        </w:r>
        <w:r w:rsidR="00025FB4">
          <w:rPr>
            <w:noProof/>
            <w:webHidden/>
          </w:rPr>
          <w:t>4</w:t>
        </w:r>
        <w:r w:rsidR="00025FB4">
          <w:rPr>
            <w:noProof/>
            <w:webHidden/>
          </w:rPr>
          <w:fldChar w:fldCharType="end"/>
        </w:r>
      </w:hyperlink>
    </w:p>
    <w:p w:rsidR="00025FB4" w:rsidRDefault="00025FB4">
      <w:pPr>
        <w:pStyle w:val="ndicedeilustra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8595806" w:history="1">
        <w:r w:rsidRPr="00202213">
          <w:rPr>
            <w:rStyle w:val="Hyperlink"/>
            <w:noProof/>
          </w:rPr>
          <w:t>Figura 2 - Fórmula do Cálculo do QEE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5FB4" w:rsidRDefault="00025FB4">
      <w:pPr>
        <w:pStyle w:val="ndicedeilustra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8595807" w:history="1">
        <w:r w:rsidRPr="00202213">
          <w:rPr>
            <w:rStyle w:val="Hyperlink"/>
            <w:noProof/>
          </w:rPr>
          <w:t>Figura 3 - Tabela com a informação referente ao 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5FB4" w:rsidRDefault="00025FB4">
      <w:pPr>
        <w:pStyle w:val="ndicedeilustra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8595808" w:history="1">
        <w:r w:rsidRPr="00202213">
          <w:rPr>
            <w:rStyle w:val="Hyperlink"/>
            <w:noProof/>
          </w:rPr>
          <w:t>Figura 4 - Solução sem quebras (2138,3600)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5FB4" w:rsidRDefault="00025FB4">
      <w:pPr>
        <w:pStyle w:val="ndicedeilustra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8595809" w:history="1">
        <w:r w:rsidRPr="00202213">
          <w:rPr>
            <w:rStyle w:val="Hyperlink"/>
            <w:noProof/>
          </w:rPr>
          <w:t>Figura 5 - Solução (934,2400)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25FB4" w:rsidRDefault="00025FB4">
      <w:pPr>
        <w:pStyle w:val="ndicedeilustra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8595810" w:history="1">
        <w:r w:rsidRPr="00202213">
          <w:rPr>
            <w:rStyle w:val="Hyperlink"/>
            <w:noProof/>
          </w:rPr>
          <w:t>Figura 6 - Folha Excel para simulação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C5A7D" w:rsidRDefault="00AC5A7D" w:rsidP="008F0A1D">
      <w:pPr>
        <w:jc w:val="both"/>
      </w:pPr>
      <w:r>
        <w:fldChar w:fldCharType="end"/>
      </w:r>
    </w:p>
    <w:p w:rsidR="00AC5A7D" w:rsidRDefault="00AC5A7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F0A1D" w:rsidRDefault="008F0A1D" w:rsidP="008F0A1D">
      <w:pPr>
        <w:pStyle w:val="Ttulo1"/>
        <w:numPr>
          <w:ilvl w:val="0"/>
          <w:numId w:val="2"/>
        </w:numPr>
        <w:jc w:val="both"/>
      </w:pPr>
      <w:bookmarkStart w:id="1" w:name="_Toc8595798"/>
      <w:r>
        <w:lastRenderedPageBreak/>
        <w:t>Introdução</w:t>
      </w:r>
      <w:bookmarkEnd w:id="1"/>
    </w:p>
    <w:p w:rsidR="008F0A1D" w:rsidRDefault="008F0A1D" w:rsidP="008F0A1D">
      <w:pPr>
        <w:jc w:val="both"/>
      </w:pPr>
      <w:r>
        <w:t>Foi-nos proposto no âmbito da unidade curricular Modelos Estocásticos de Investigação Operacional como trabalho prático a elaboração de uma folha de cálculo para implementar um modelo de simulação do funcionamento do sistema de gestão apresentado.</w:t>
      </w:r>
    </w:p>
    <w:p w:rsidR="008F0A1D" w:rsidRDefault="008F0A1D" w:rsidP="008F0A1D">
      <w:pPr>
        <w:jc w:val="both"/>
      </w:pPr>
      <w:r>
        <w:t xml:space="preserve">A política de gestão de inventários proposta é do tipo Ciclo de Encomenda, em que as ordens ou pedidos de encomenda são realizadas periodicamente ao fim de cada ciclo de t unidades de tempo. Assim, a quantidade de encomenda é determinada no momento da encomenda através da diferença entre um nível máximo preestabelecido (S) e o “stock em mão”. </w:t>
      </w:r>
    </w:p>
    <w:p w:rsidR="008F0A1D" w:rsidRDefault="008F0A1D" w:rsidP="008F0A1D">
      <w:pPr>
        <w:jc w:val="both"/>
      </w:pPr>
      <w:r>
        <w:t>Assim, o presente relatório irá abordar a solução escolhida para a resolução do problema apresentado e todo o processo da elaboração da mesma.</w:t>
      </w:r>
    </w:p>
    <w:p w:rsidR="008F0A1D" w:rsidRDefault="008F0A1D" w:rsidP="008F0A1D">
      <w:pPr>
        <w:jc w:val="both"/>
      </w:pPr>
    </w:p>
    <w:p w:rsidR="008F0A1D" w:rsidRDefault="008F0A1D" w:rsidP="008F0A1D">
      <w:pPr>
        <w:pStyle w:val="Ttulo1"/>
        <w:numPr>
          <w:ilvl w:val="0"/>
          <w:numId w:val="2"/>
        </w:numPr>
        <w:jc w:val="both"/>
      </w:pPr>
      <w:bookmarkStart w:id="2" w:name="_Toc8595799"/>
      <w:r>
        <w:t>Formulação do Problema</w:t>
      </w:r>
      <w:bookmarkEnd w:id="2"/>
    </w:p>
    <w:p w:rsidR="008F0A1D" w:rsidRDefault="008F0A1D" w:rsidP="008F0A1D">
      <w:pPr>
        <w:jc w:val="both"/>
      </w:pPr>
      <w:r>
        <w:t>Após a análise ao enunciado, apresentamos agora o nosso problema.</w:t>
      </w:r>
    </w:p>
    <w:p w:rsidR="008F0A1D" w:rsidRDefault="008F0A1D" w:rsidP="008F0A1D">
      <w:pPr>
        <w:jc w:val="both"/>
      </w:pPr>
      <w:r>
        <w:t xml:space="preserve">O caso incide em uma empresa, </w:t>
      </w:r>
      <w:proofErr w:type="spellStart"/>
      <w:r>
        <w:t>ProLab</w:t>
      </w:r>
      <w:proofErr w:type="spellEnd"/>
      <w:r>
        <w:t xml:space="preserve">, </w:t>
      </w:r>
      <w:r>
        <w:t>uma empresa</w:t>
      </w:r>
      <w:r>
        <w:t xml:space="preserve"> que fabrica reagentes químicos usados por clínicas laboratoriais. Esta pretende adotar, em 2019, uma política de gestão de inventário do tipo (</w:t>
      </w:r>
      <w:proofErr w:type="spellStart"/>
      <w:proofErr w:type="gramStart"/>
      <w:r>
        <w:t>s,S</w:t>
      </w:r>
      <w:proofErr w:type="spellEnd"/>
      <w:proofErr w:type="gramEnd"/>
      <w:r>
        <w:t>) com um ciclo de 2 semanas.</w:t>
      </w:r>
    </w:p>
    <w:p w:rsidR="008F0A1D" w:rsidRDefault="008F0A1D" w:rsidP="008F0A1D">
      <w:pPr>
        <w:jc w:val="both"/>
      </w:pPr>
      <w:r>
        <w:t>A política (</w:t>
      </w:r>
      <w:proofErr w:type="spellStart"/>
      <w:proofErr w:type="gramStart"/>
      <w:r>
        <w:t>s,S</w:t>
      </w:r>
      <w:proofErr w:type="spellEnd"/>
      <w:proofErr w:type="gramEnd"/>
      <w:r>
        <w:t>) funciona exatamente como a política Ciclo de Encomenda, com a variante que, no final de cada</w:t>
      </w:r>
      <w:r>
        <w:t xml:space="preserve"> </w:t>
      </w:r>
      <w:r>
        <w:t>ciclo de t unidades de tempo, a encomenda só é efetivamente realizada caso o stock em mão, naquele momento exato, seja estritamente inferior a um nível de referência preestabelecido s. Assim, esta política prescinde da realização de pedidos de encomenda nos ciclos em que o nível de inventário no sistema é considerado demasiado alto para justificar um novo pedido, ou seja, níveis de inventário superiores ao nível de referência s.</w:t>
      </w:r>
    </w:p>
    <w:p w:rsidR="008F0A1D" w:rsidRPr="008F0A1D" w:rsidRDefault="008F0A1D" w:rsidP="008F0A1D">
      <w:pPr>
        <w:jc w:val="both"/>
      </w:pPr>
      <w:r>
        <w:t>No nosso problema, é importante referir que se a empresa não tiver stock na altura de venda, este entra em quebra e perde vendas</w:t>
      </w:r>
      <w:r w:rsidR="00673F54">
        <w:t xml:space="preserve"> (perdendo dinheiro).</w:t>
      </w:r>
    </w:p>
    <w:p w:rsidR="008F0A1D" w:rsidRDefault="008F0A1D" w:rsidP="008F0A1D">
      <w:pPr>
        <w:pStyle w:val="Ttulo2"/>
        <w:numPr>
          <w:ilvl w:val="1"/>
          <w:numId w:val="2"/>
        </w:numPr>
        <w:jc w:val="both"/>
      </w:pPr>
      <w:r>
        <w:t xml:space="preserve"> </w:t>
      </w:r>
      <w:bookmarkStart w:id="3" w:name="_Toc8595800"/>
      <w:r>
        <w:t>Variáveis e concessão do simulador</w:t>
      </w:r>
      <w:bookmarkEnd w:id="3"/>
    </w:p>
    <w:p w:rsidR="008F0A1D" w:rsidRDefault="008F0A1D" w:rsidP="008F0A1D">
      <w:pPr>
        <w:jc w:val="both"/>
      </w:pPr>
      <w:r w:rsidRPr="008F0A1D">
        <w:t xml:space="preserve">Na leitura do problema, é fornecido os valores de procura médica e desvio-padrão de cada semana de 2018, referindo ainda que a procura tem aumentado 3.8% e que o desvio-padrão é equivalente a 8.7% da procura do ano a simular. Por isso, usando um fator aleatório e uma função que calcula o inverso de uma distribuição normal (função presente no </w:t>
      </w:r>
      <w:proofErr w:type="spellStart"/>
      <w:r w:rsidRPr="008F0A1D">
        <w:t>excel</w:t>
      </w:r>
      <w:proofErr w:type="spellEnd"/>
      <w:r w:rsidRPr="008F0A1D">
        <w:t>), calculamos valores aleatórios, que respeitam a distribuição fornecida, para as procuras semanais de 2019. Para além da procura, é também indicado as diferentes condições em que a empresa funciona, necessárias para a construção do simulador:</w:t>
      </w:r>
    </w:p>
    <w:p w:rsidR="008F0A1D" w:rsidRDefault="008F0A1D" w:rsidP="008F0A1D">
      <w:pPr>
        <w:pStyle w:val="PargrafodaLista"/>
        <w:numPr>
          <w:ilvl w:val="0"/>
          <w:numId w:val="4"/>
        </w:numPr>
        <w:jc w:val="both"/>
      </w:pPr>
      <w:r w:rsidRPr="008F0A1D">
        <w:t>Período de trabalho - Número de semanas de trabalho existentes num ano</w:t>
      </w:r>
      <w:r>
        <w:t>.</w:t>
      </w:r>
      <w:r w:rsidRPr="008F0A1D">
        <w:t xml:space="preserve"> (50 semanas)</w:t>
      </w:r>
    </w:p>
    <w:p w:rsidR="008F0A1D" w:rsidRDefault="008F0A1D" w:rsidP="008F0A1D">
      <w:pPr>
        <w:pStyle w:val="PargrafodaLista"/>
        <w:numPr>
          <w:ilvl w:val="0"/>
          <w:numId w:val="4"/>
        </w:numPr>
        <w:jc w:val="both"/>
      </w:pPr>
      <w:r w:rsidRPr="008F0A1D">
        <w:t>b - Custo de fabrico de uma caixa de reagente. (96.5€)</w:t>
      </w:r>
    </w:p>
    <w:p w:rsidR="008F0A1D" w:rsidRDefault="008F0A1D" w:rsidP="008F0A1D">
      <w:pPr>
        <w:pStyle w:val="PargrafodaLista"/>
        <w:numPr>
          <w:ilvl w:val="0"/>
          <w:numId w:val="4"/>
        </w:numPr>
        <w:jc w:val="both"/>
      </w:pPr>
      <w:r>
        <w:t xml:space="preserve">v - Preço de venda de uma caixa de reagente. </w:t>
      </w:r>
      <w:r>
        <w:t>(</w:t>
      </w:r>
      <w:r>
        <w:t>120€)</w:t>
      </w:r>
    </w:p>
    <w:p w:rsidR="008F0A1D" w:rsidRDefault="008F0A1D" w:rsidP="008F0A1D">
      <w:pPr>
        <w:pStyle w:val="PargrafodaLista"/>
        <w:numPr>
          <w:ilvl w:val="0"/>
          <w:numId w:val="4"/>
        </w:numPr>
        <w:jc w:val="both"/>
      </w:pPr>
      <w:r>
        <w:t>C1 - Custo de existência/armazenamento. (0.3474€</w:t>
      </w:r>
      <w:r>
        <w:t>)</w:t>
      </w:r>
      <w:r>
        <w:t xml:space="preserve"> </w:t>
      </w:r>
    </w:p>
    <w:p w:rsidR="008F0A1D" w:rsidRDefault="008F0A1D" w:rsidP="008F0A1D">
      <w:pPr>
        <w:pStyle w:val="PargrafodaLista"/>
        <w:numPr>
          <w:ilvl w:val="0"/>
          <w:numId w:val="4"/>
        </w:numPr>
        <w:jc w:val="both"/>
      </w:pPr>
      <w:r>
        <w:t xml:space="preserve">    \</w:t>
      </w:r>
      <w:proofErr w:type="spellStart"/>
      <w:proofErr w:type="gramStart"/>
      <w:r>
        <w:t>footnote</w:t>
      </w:r>
      <w:proofErr w:type="spellEnd"/>
      <w:r>
        <w:t>{</w:t>
      </w:r>
      <w:proofErr w:type="gramEnd"/>
      <w:r>
        <w:t>taxa de juro anual é de 18\%. Como realizamos a simulação por semana, a esta percentagem dividimos por 50 semanas.}</w:t>
      </w:r>
    </w:p>
    <w:p w:rsidR="008F0A1D" w:rsidRDefault="008F0A1D" w:rsidP="008F0A1D">
      <w:pPr>
        <w:pStyle w:val="PargrafodaLista"/>
        <w:numPr>
          <w:ilvl w:val="0"/>
          <w:numId w:val="4"/>
        </w:numPr>
        <w:jc w:val="both"/>
      </w:pPr>
      <w:r>
        <w:t>C2 - Custo de quebra. (28€)</w:t>
      </w:r>
    </w:p>
    <w:p w:rsidR="008F0A1D" w:rsidRDefault="008F0A1D" w:rsidP="008F0A1D">
      <w:pPr>
        <w:pStyle w:val="PargrafodaLista"/>
        <w:numPr>
          <w:ilvl w:val="0"/>
          <w:numId w:val="4"/>
        </w:numPr>
        <w:jc w:val="both"/>
      </w:pPr>
      <w:r>
        <w:lastRenderedPageBreak/>
        <w:t>C3 - Custo de encomenda. (900€)</w:t>
      </w:r>
    </w:p>
    <w:p w:rsidR="008F0A1D" w:rsidRDefault="008F0A1D" w:rsidP="008F0A1D">
      <w:pPr>
        <w:pStyle w:val="PargrafodaLista"/>
        <w:numPr>
          <w:ilvl w:val="0"/>
          <w:numId w:val="4"/>
        </w:numPr>
        <w:jc w:val="both"/>
      </w:pPr>
      <w:r>
        <w:t>l - Prazo de entrega. Varia entre 1 e 2 semanas, com as probabilidades de, respetivamente, 60% e 40%.</w:t>
      </w:r>
    </w:p>
    <w:p w:rsidR="008F0A1D" w:rsidRDefault="008F0A1D" w:rsidP="008F0A1D">
      <w:pPr>
        <w:pStyle w:val="PargrafodaLista"/>
        <w:numPr>
          <w:ilvl w:val="0"/>
          <w:numId w:val="4"/>
        </w:numPr>
        <w:jc w:val="both"/>
      </w:pPr>
      <w:r>
        <w:t>t - Período de revisão, para decidir se é necessário encomendar para reposição de stock. (2 semanas</w:t>
      </w:r>
      <w:r>
        <w:t>)</w:t>
      </w:r>
      <w:r>
        <w:t>.</w:t>
      </w:r>
    </w:p>
    <w:p w:rsidR="00913BF1" w:rsidRDefault="00913BF1" w:rsidP="00913BF1">
      <w:pPr>
        <w:ind w:left="360"/>
        <w:jc w:val="both"/>
      </w:pPr>
    </w:p>
    <w:p w:rsidR="008F0A1D" w:rsidRDefault="008F0A1D" w:rsidP="008F0A1D">
      <w:pPr>
        <w:jc w:val="both"/>
      </w:pPr>
      <w:r>
        <w:t>Para além destas, tivemos de assumir certos aspetos da simulação</w:t>
      </w:r>
      <w:r w:rsidR="00913BF1">
        <w:t>. Assim, f</w:t>
      </w:r>
      <w:r>
        <w:t>oi calculado o s (nível de referência)</w:t>
      </w:r>
      <w:r w:rsidR="00913BF1">
        <w:t xml:space="preserve"> com base em,</w:t>
      </w:r>
    </w:p>
    <w:p w:rsidR="00913BF1" w:rsidRDefault="00913BF1" w:rsidP="00913BF1">
      <w:pPr>
        <w:keepNext/>
        <w:jc w:val="center"/>
      </w:pPr>
      <w:r>
        <w:rPr>
          <w:noProof/>
        </w:rPr>
        <w:drawing>
          <wp:inline distT="0" distB="0" distL="0" distR="0">
            <wp:extent cx="2105319" cy="68589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F1" w:rsidRDefault="00913BF1" w:rsidP="00913BF1">
      <w:pPr>
        <w:pStyle w:val="Legenda"/>
        <w:jc w:val="center"/>
      </w:pPr>
      <w:bookmarkStart w:id="4" w:name="_Toc85958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25FB4">
        <w:rPr>
          <w:noProof/>
        </w:rPr>
        <w:t>1</w:t>
      </w:r>
      <w:r>
        <w:fldChar w:fldCharType="end"/>
      </w:r>
      <w:r>
        <w:t xml:space="preserve"> - Fórmula do cálculo de s</w:t>
      </w:r>
      <w:bookmarkEnd w:id="4"/>
    </w:p>
    <w:p w:rsidR="00913BF1" w:rsidRDefault="00913BF1" w:rsidP="00913BF1">
      <w:r w:rsidRPr="00913BF1">
        <w:t xml:space="preserve">sendo q a quantidade ótima de produto para aquela semana </w:t>
      </w:r>
      <w:r>
        <w:t>(</w:t>
      </w:r>
      <w:r w:rsidRPr="00913BF1">
        <w:t>QEE):</w:t>
      </w:r>
    </w:p>
    <w:p w:rsidR="00913BF1" w:rsidRDefault="00913BF1" w:rsidP="00913BF1">
      <w:pPr>
        <w:keepNext/>
        <w:jc w:val="center"/>
      </w:pPr>
      <w:r>
        <w:rPr>
          <w:noProof/>
        </w:rPr>
        <w:drawing>
          <wp:inline distT="0" distB="0" distL="0" distR="0">
            <wp:extent cx="1514686" cy="876422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m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F1" w:rsidRDefault="00913BF1" w:rsidP="00913BF1">
      <w:pPr>
        <w:pStyle w:val="Legenda"/>
        <w:jc w:val="center"/>
      </w:pPr>
      <w:bookmarkStart w:id="5" w:name="_Toc85958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25FB4">
        <w:rPr>
          <w:noProof/>
        </w:rPr>
        <w:t>2</w:t>
      </w:r>
      <w:r>
        <w:fldChar w:fldCharType="end"/>
      </w:r>
      <w:r>
        <w:t xml:space="preserve"> - Fórmula do Cálculo do QEE</w:t>
      </w:r>
      <w:bookmarkEnd w:id="5"/>
    </w:p>
    <w:p w:rsidR="00913BF1" w:rsidRDefault="00913BF1" w:rsidP="00913BF1">
      <w:r>
        <w:t>O valore de</w:t>
      </w:r>
      <w:r>
        <w:t xml:space="preserve"> </w:t>
      </w:r>
      <w:r>
        <w:t>S</w:t>
      </w:r>
      <w:r>
        <w:t xml:space="preserve"> </w:t>
      </w:r>
      <w:r>
        <w:t>(nível máximo de stock) será então estimado a partir destes todos.</w:t>
      </w:r>
      <w:r>
        <w:t xml:space="preserve"> Por fim, foi </w:t>
      </w:r>
      <w:r>
        <w:t>definido também um nível inicial de stock, de 1000 unidades.</w:t>
      </w:r>
    </w:p>
    <w:p w:rsidR="00673F54" w:rsidRDefault="00673F54" w:rsidP="00913BF1"/>
    <w:p w:rsidR="00025FB4" w:rsidRDefault="00673F54" w:rsidP="00913BF1">
      <w:r>
        <w:t>Para verificar quando é necessário realizar encomendas, o simulador verifica primeiro se se encontra em período de revisão e se o nível de stock se encontra abaixo do nível de referência (s). Caso esta seja verdadeira, é aleatoriamente gerado um número entre 1 e 2 (prazo de entrega</w:t>
      </w:r>
      <w:r w:rsidR="00025FB4">
        <w:t>, semanas</w:t>
      </w:r>
      <w:r>
        <w:t>) com as probabilidades fornecidas que irá assinalar essa semana como semana de encomenda. Por cada semana subsequente</w:t>
      </w:r>
      <w:r w:rsidR="00025FB4">
        <w:t>, este decrementa 1 unidade (semana) até que chega a 0 e aumenta o nível de stock da semana em que se encontra.</w:t>
      </w:r>
    </w:p>
    <w:p w:rsidR="00913BF1" w:rsidRDefault="00913BF1" w:rsidP="00913BF1"/>
    <w:p w:rsidR="00913BF1" w:rsidRDefault="00913BF1" w:rsidP="00913BF1">
      <w:pPr>
        <w:pStyle w:val="Ttulo2"/>
        <w:numPr>
          <w:ilvl w:val="1"/>
          <w:numId w:val="2"/>
        </w:numPr>
      </w:pPr>
      <w:r>
        <w:t xml:space="preserve"> </w:t>
      </w:r>
      <w:bookmarkStart w:id="6" w:name="_Toc8595801"/>
      <w:r>
        <w:t>Medidas de Desempenho</w:t>
      </w:r>
      <w:bookmarkEnd w:id="6"/>
    </w:p>
    <w:p w:rsidR="00913BF1" w:rsidRDefault="00913BF1" w:rsidP="00913BF1">
      <w:r>
        <w:t>Para avaliar a veracidade e distinguir as melhores soluções, verificamos vários parâmetros calculados que servirão como medidas de desempenho:</w:t>
      </w:r>
    </w:p>
    <w:p w:rsidR="00913BF1" w:rsidRDefault="00913BF1" w:rsidP="00913BF1">
      <w:pPr>
        <w:pStyle w:val="PargrafodaLista"/>
        <w:numPr>
          <w:ilvl w:val="0"/>
          <w:numId w:val="5"/>
        </w:numPr>
      </w:pPr>
      <w:r>
        <w:t>Número de quebras existentes no ano;</w:t>
      </w:r>
    </w:p>
    <w:p w:rsidR="00913BF1" w:rsidRDefault="00913BF1" w:rsidP="00913BF1">
      <w:pPr>
        <w:pStyle w:val="PargrafodaLista"/>
        <w:numPr>
          <w:ilvl w:val="0"/>
          <w:numId w:val="5"/>
        </w:numPr>
      </w:pPr>
      <w:r>
        <w:t>Quantidade vendida no ano;</w:t>
      </w:r>
    </w:p>
    <w:p w:rsidR="00913BF1" w:rsidRDefault="00913BF1" w:rsidP="00913BF1">
      <w:pPr>
        <w:pStyle w:val="PargrafodaLista"/>
        <w:numPr>
          <w:ilvl w:val="0"/>
          <w:numId w:val="5"/>
        </w:numPr>
      </w:pPr>
      <w:r>
        <w:t>Custo total, por semana, durante o ano;</w:t>
      </w:r>
    </w:p>
    <w:p w:rsidR="00913BF1" w:rsidRDefault="00913BF1" w:rsidP="00913BF1">
      <w:pPr>
        <w:pStyle w:val="PargrafodaLista"/>
        <w:numPr>
          <w:ilvl w:val="0"/>
          <w:numId w:val="5"/>
        </w:numPr>
      </w:pPr>
      <w:r>
        <w:t>Ganho de vendas também por semana;</w:t>
      </w:r>
    </w:p>
    <w:p w:rsidR="00913BF1" w:rsidRDefault="00913BF1" w:rsidP="00913BF1">
      <w:pPr>
        <w:pStyle w:val="PargrafodaLista"/>
        <w:numPr>
          <w:ilvl w:val="0"/>
          <w:numId w:val="5"/>
        </w:numPr>
      </w:pPr>
      <w:r>
        <w:lastRenderedPageBreak/>
        <w:t>Lucro realmente adquirido no ano.</w:t>
      </w:r>
    </w:p>
    <w:p w:rsidR="00913BF1" w:rsidRDefault="00913BF1" w:rsidP="00913BF1"/>
    <w:p w:rsidR="00025FB4" w:rsidRDefault="00025FB4" w:rsidP="00913BF1">
      <w:r>
        <w:t>Para além disto, o simulador possui uma tabela onde guarda diferentes aspetos da simulação como o lucro total, número de quebras, encomendas, quantidade vendida, entre outras. Esta serve para rapidamente verificar o que se espera naquele ano, com os valores de S estimados.</w:t>
      </w:r>
    </w:p>
    <w:p w:rsidR="00025FB4" w:rsidRDefault="00025FB4" w:rsidP="00025FB4">
      <w:pPr>
        <w:keepNext/>
        <w:jc w:val="center"/>
      </w:pPr>
      <w:r>
        <w:rPr>
          <w:noProof/>
        </w:rPr>
        <w:drawing>
          <wp:inline distT="0" distB="0" distL="0" distR="0">
            <wp:extent cx="5439534" cy="102884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bel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B4" w:rsidRDefault="00025FB4" w:rsidP="00025FB4">
      <w:pPr>
        <w:pStyle w:val="Legenda"/>
        <w:jc w:val="center"/>
      </w:pPr>
      <w:bookmarkStart w:id="7" w:name="_Toc859580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Tabela com a informação referente ao ano</w:t>
      </w:r>
      <w:bookmarkEnd w:id="7"/>
    </w:p>
    <w:p w:rsidR="00913BF1" w:rsidRDefault="00025FB4" w:rsidP="00913BF1">
      <w:r>
        <w:t>Por fim, este assinala a vermelho todas as semanas em que possuem lucros negativos/quebras.</w:t>
      </w:r>
    </w:p>
    <w:p w:rsidR="00025FB4" w:rsidRDefault="00025FB4" w:rsidP="00913BF1"/>
    <w:p w:rsidR="00913BF1" w:rsidRDefault="00913BF1" w:rsidP="00913BF1">
      <w:pPr>
        <w:pStyle w:val="Ttulo1"/>
        <w:numPr>
          <w:ilvl w:val="0"/>
          <w:numId w:val="2"/>
        </w:numPr>
      </w:pPr>
      <w:bookmarkStart w:id="8" w:name="_Toc8595802"/>
      <w:r>
        <w:t>Simulação para o valor de S</w:t>
      </w:r>
      <w:bookmarkEnd w:id="8"/>
    </w:p>
    <w:p w:rsidR="00913BF1" w:rsidRDefault="00913BF1" w:rsidP="00913BF1">
      <w:r>
        <w:t xml:space="preserve">Numa primeira instância, procuramos o valor de S que garantisse o menor s, nunca deixando chegar este ser negativo (porque </w:t>
      </w:r>
      <w:r>
        <w:t>logicamente</w:t>
      </w:r>
      <w:r>
        <w:t xml:space="preserve"> não pode acontecer). Nesta aproximação inicial conseguimos um lucro á volta de 1,483,886€, com uma média de 17 quebras e 10 encomendas realizadas, sendo S igual a 1900.</w:t>
      </w:r>
    </w:p>
    <w:p w:rsidR="00913BF1" w:rsidRDefault="00913BF1" w:rsidP="00913BF1"/>
    <w:p w:rsidR="009C3BDC" w:rsidRDefault="00913BF1" w:rsidP="00913BF1">
      <w:pPr>
        <w:rPr>
          <w:noProof/>
        </w:rPr>
      </w:pPr>
      <w:r>
        <w:t xml:space="preserve">De seguida, sabendo que S tem de ser superior a 1900 e usando </w:t>
      </w:r>
      <w:r w:rsidR="009C3BDC">
        <w:t>6</w:t>
      </w:r>
      <w:r>
        <w:t xml:space="preserve"> iterações para simular, fizemos</w:t>
      </w:r>
      <w:r w:rsidR="009C3BDC">
        <w:t xml:space="preserve"> vários testes, incrementando em 100 cada teste do S, chegando aos valores apresentados em baixo.</w:t>
      </w:r>
      <w:r w:rsidR="009C3BDC" w:rsidRPr="009C3BDC">
        <w:rPr>
          <w:noProof/>
        </w:rPr>
        <w:t xml:space="preserve"> </w:t>
      </w:r>
    </w:p>
    <w:p w:rsidR="009C3BDC" w:rsidRDefault="009C3BDC" w:rsidP="00913BF1">
      <w:pPr>
        <w:rPr>
          <w:noProof/>
        </w:rPr>
      </w:pPr>
    </w:p>
    <w:p w:rsidR="00913BF1" w:rsidRPr="00913BF1" w:rsidRDefault="009C3BDC" w:rsidP="009C3BDC">
      <w:pPr>
        <w:jc w:val="center"/>
      </w:pPr>
      <w:r>
        <w:rPr>
          <w:noProof/>
        </w:rPr>
        <w:lastRenderedPageBreak/>
        <w:drawing>
          <wp:inline distT="0" distB="0" distL="0" distR="0" wp14:anchorId="27221A9E" wp14:editId="6263EB4D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C3BDC" w:rsidRDefault="009C3BDC" w:rsidP="009C3BDC">
      <w:pPr>
        <w:jc w:val="center"/>
      </w:pPr>
      <w:r>
        <w:rPr>
          <w:noProof/>
        </w:rPr>
        <w:drawing>
          <wp:inline distT="0" distB="0" distL="0" distR="0" wp14:anchorId="0BED86FD" wp14:editId="32606084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F0A1D" w:rsidRDefault="008F0A1D" w:rsidP="009C3BDC">
      <w:pPr>
        <w:jc w:val="center"/>
      </w:pPr>
      <w:r>
        <w:rPr>
          <w:noProof/>
        </w:rPr>
        <w:lastRenderedPageBreak/>
        <w:drawing>
          <wp:inline distT="0" distB="0" distL="0" distR="0" wp14:anchorId="53206273" wp14:editId="1C6DAA86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73F54" w:rsidRDefault="009C3BDC" w:rsidP="009C3BDC">
      <w:r>
        <w:t xml:space="preserve">Analisando os gráficos, verificamos que com o aumento do S, o lucro, o nº de vendas e o nº de quebras vão aumentando, mas parecem começar a aumentar cada vez menos com as iterações. Por exemplo, entre um S de 2400 e 2500, não vai uma grande diferença entre os parâmetros de desempenho, o que leva a achar que </w:t>
      </w:r>
      <w:r w:rsidR="00466BAE">
        <w:t xml:space="preserve">provavelmente </w:t>
      </w:r>
      <w:r>
        <w:t>não vale a pena continuar a aumenta</w:t>
      </w:r>
      <w:r w:rsidR="00466BAE">
        <w:t>r. Para além disto, reparámos que apesar de ganharmos mais lucro, obviamente gastamos mais em encomendas (estas iam aumentando com as iterações) e em armazenamento, aumentando os gastos semanais. Verificamos também que, existem semanas em que entramos em quebra e passámos a ter lucros negativos, sendo apenas a partir de um S de 3600 é que passamos a ter sempre lucros positivos.</w:t>
      </w:r>
    </w:p>
    <w:p w:rsidR="00AC5A7D" w:rsidRDefault="00AC5A7D" w:rsidP="00AC5A7D">
      <w:pPr>
        <w:keepNext/>
        <w:jc w:val="center"/>
      </w:pPr>
      <w:r>
        <w:rPr>
          <w:noProof/>
        </w:rPr>
        <w:drawing>
          <wp:inline distT="0" distB="0" distL="0" distR="0">
            <wp:extent cx="5468113" cy="137179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l perfeit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7D" w:rsidRDefault="00AC5A7D" w:rsidP="00AC5A7D">
      <w:pPr>
        <w:pStyle w:val="Legenda"/>
        <w:jc w:val="center"/>
      </w:pPr>
      <w:bookmarkStart w:id="9" w:name="_Toc85958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25FB4">
        <w:rPr>
          <w:noProof/>
        </w:rPr>
        <w:t>4</w:t>
      </w:r>
      <w:r>
        <w:fldChar w:fldCharType="end"/>
      </w:r>
      <w:r>
        <w:t xml:space="preserve"> - Solução sem quebras</w:t>
      </w:r>
      <w:r w:rsidR="00673F54">
        <w:t xml:space="preserve"> (2138,3600)</w:t>
      </w:r>
      <w:bookmarkEnd w:id="9"/>
    </w:p>
    <w:p w:rsidR="00913BF1" w:rsidRDefault="00913BF1"/>
    <w:p w:rsidR="00913BF1" w:rsidRDefault="00913BF1" w:rsidP="00913BF1">
      <w:pPr>
        <w:pStyle w:val="Ttulo1"/>
        <w:numPr>
          <w:ilvl w:val="0"/>
          <w:numId w:val="2"/>
        </w:numPr>
      </w:pPr>
      <w:bookmarkStart w:id="10" w:name="_Toc8595803"/>
      <w:r>
        <w:t>Conclusão</w:t>
      </w:r>
      <w:bookmarkEnd w:id="10"/>
    </w:p>
    <w:p w:rsidR="00913BF1" w:rsidRDefault="00913BF1" w:rsidP="00913BF1"/>
    <w:p w:rsidR="00913BF1" w:rsidRDefault="00AC5A7D" w:rsidP="00913BF1">
      <w:r>
        <w:t xml:space="preserve">Para o problema em questão, encontrámos dois extremos: um em que a empresa garante que nunca se encontra em quebra, obviamente gerando mais lucro, mas a realizar muitas encomendas e gastando </w:t>
      </w:r>
      <w:r>
        <w:lastRenderedPageBreak/>
        <w:t>mais por semana (2138,3600); e outro básico que apenas garante o funcionamento desta política (366,1800).</w:t>
      </w:r>
    </w:p>
    <w:p w:rsidR="00AC5A7D" w:rsidRDefault="00AC5A7D" w:rsidP="00913BF1">
      <w:r>
        <w:t xml:space="preserve">A empresa teria de decidir entre gastar muito semanalmente e ganhar mais, ou manter um baixo nível de </w:t>
      </w:r>
      <w:r w:rsidR="00673F54">
        <w:t>quebras, mas realizando bem menos encomendas. Na opinião do grupo, caso esta tenha grandes locais de armazenamento e um grande financiamento no início do ano, deveria ir para um S de 3600, senão de 2400.</w:t>
      </w:r>
    </w:p>
    <w:p w:rsidR="00673F54" w:rsidRDefault="00673F54" w:rsidP="00673F54">
      <w:pPr>
        <w:keepNext/>
        <w:jc w:val="center"/>
      </w:pPr>
      <w:r>
        <w:rPr>
          <w:noProof/>
        </w:rPr>
        <w:drawing>
          <wp:inline distT="0" distB="0" distL="0" distR="0">
            <wp:extent cx="5325218" cy="108600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l ppperf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54" w:rsidRDefault="00673F54" w:rsidP="00673F54">
      <w:pPr>
        <w:pStyle w:val="Legenda"/>
        <w:jc w:val="center"/>
      </w:pPr>
      <w:bookmarkStart w:id="11" w:name="_Toc859580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25FB4">
        <w:rPr>
          <w:noProof/>
        </w:rPr>
        <w:t>5</w:t>
      </w:r>
      <w:r>
        <w:fldChar w:fldCharType="end"/>
      </w:r>
      <w:r>
        <w:t xml:space="preserve"> - Solução (934,2400)</w:t>
      </w:r>
      <w:bookmarkEnd w:id="11"/>
    </w:p>
    <w:p w:rsidR="00913BF1" w:rsidRDefault="00913BF1" w:rsidP="00913BF1"/>
    <w:p w:rsidR="00913BF1" w:rsidRDefault="00913BF1" w:rsidP="00913BF1"/>
    <w:p w:rsidR="00913BF1" w:rsidRDefault="00913BF1" w:rsidP="00913BF1"/>
    <w:p w:rsidR="00913BF1" w:rsidRDefault="00913BF1" w:rsidP="00913BF1"/>
    <w:p w:rsidR="00913BF1" w:rsidRDefault="00913BF1" w:rsidP="00913BF1"/>
    <w:p w:rsidR="00025FB4" w:rsidRDefault="00025FB4">
      <w:r>
        <w:br w:type="page"/>
      </w:r>
    </w:p>
    <w:p w:rsidR="00913BF1" w:rsidRDefault="00913BF1" w:rsidP="00913BF1"/>
    <w:p w:rsidR="00913BF1" w:rsidRDefault="00913BF1" w:rsidP="00913BF1"/>
    <w:p w:rsidR="00913BF1" w:rsidRDefault="00913BF1" w:rsidP="00913BF1">
      <w:pPr>
        <w:pStyle w:val="Ttulo1"/>
        <w:numPr>
          <w:ilvl w:val="0"/>
          <w:numId w:val="2"/>
        </w:numPr>
      </w:pPr>
      <w:bookmarkStart w:id="12" w:name="_Toc8595804"/>
      <w:r>
        <w:t>Anexos</w:t>
      </w:r>
      <w:bookmarkEnd w:id="12"/>
    </w:p>
    <w:p w:rsidR="00913BF1" w:rsidRPr="00913BF1" w:rsidRDefault="00913BF1" w:rsidP="00913BF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9C9E39" wp14:editId="2B6EE153">
                <wp:simplePos x="0" y="0"/>
                <wp:positionH relativeFrom="column">
                  <wp:posOffset>-647700</wp:posOffset>
                </wp:positionH>
                <wp:positionV relativeFrom="paragraph">
                  <wp:posOffset>2781300</wp:posOffset>
                </wp:positionV>
                <wp:extent cx="72294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29FC" w:rsidRPr="00E429FC" w:rsidRDefault="00913BF1" w:rsidP="00E429FC">
                            <w:pPr>
                              <w:pStyle w:val="Legenda"/>
                              <w:jc w:val="center"/>
                            </w:pPr>
                            <w:bookmarkStart w:id="13" w:name="_Toc859581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25FB4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Folha Excel para simulação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9C9E39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-51pt;margin-top:219pt;width:569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" stroked="f">
                <v:textbox style="mso-fit-shape-to-text:t" inset="0,0,0,0">
                  <w:txbxContent>
                    <w:p w:rsidR="00E429FC" w:rsidRPr="00E429FC" w:rsidRDefault="00913BF1" w:rsidP="00E429FC">
                      <w:pPr>
                        <w:pStyle w:val="Legenda"/>
                        <w:jc w:val="center"/>
                      </w:pPr>
                      <w:bookmarkStart w:id="14" w:name="_Toc859581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25FB4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Folha Excel para simulação</w:t>
                      </w:r>
                      <w:bookmarkEnd w:id="14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7229475" cy="2487295"/>
            <wp:effectExtent l="0" t="0" r="9525" b="8255"/>
            <wp:wrapTight wrapText="bothSides">
              <wp:wrapPolygon edited="0">
                <wp:start x="0" y="0"/>
                <wp:lineTo x="0" y="21506"/>
                <wp:lineTo x="21572" y="21506"/>
                <wp:lineTo x="2157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cel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3BF1" w:rsidRDefault="00913BF1" w:rsidP="00913BF1">
      <w:pPr>
        <w:jc w:val="center"/>
      </w:pPr>
    </w:p>
    <w:p w:rsidR="00913BF1" w:rsidRPr="00913BF1" w:rsidRDefault="00913BF1" w:rsidP="00913BF1"/>
    <w:p w:rsidR="008F0A1D" w:rsidRDefault="008F0A1D"/>
    <w:p w:rsidR="008F0A1D" w:rsidRDefault="008F0A1D"/>
    <w:sectPr w:rsidR="008F0A1D" w:rsidSect="00390BC7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697" w:rsidRDefault="008E6697" w:rsidP="00AC5A7D">
      <w:pPr>
        <w:spacing w:after="0" w:line="240" w:lineRule="auto"/>
      </w:pPr>
      <w:r>
        <w:separator/>
      </w:r>
    </w:p>
  </w:endnote>
  <w:endnote w:type="continuationSeparator" w:id="0">
    <w:p w:rsidR="008E6697" w:rsidRDefault="008E6697" w:rsidP="00AC5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697" w:rsidRDefault="008E6697" w:rsidP="00AC5A7D">
      <w:pPr>
        <w:spacing w:after="0" w:line="240" w:lineRule="auto"/>
      </w:pPr>
      <w:r>
        <w:separator/>
      </w:r>
    </w:p>
  </w:footnote>
  <w:footnote w:type="continuationSeparator" w:id="0">
    <w:p w:rsidR="008E6697" w:rsidRDefault="008E6697" w:rsidP="00AC5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3180154"/>
      <w:docPartObj>
        <w:docPartGallery w:val="Page Numbers (Top of Page)"/>
        <w:docPartUnique/>
      </w:docPartObj>
    </w:sdtPr>
    <w:sdtContent>
      <w:p w:rsidR="00AC5A7D" w:rsidRDefault="00AC5A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="00AC5A7D" w:rsidRDefault="00AC5A7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E255A"/>
    <w:multiLevelType w:val="hybridMultilevel"/>
    <w:tmpl w:val="6B38C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10FFD"/>
    <w:multiLevelType w:val="hybridMultilevel"/>
    <w:tmpl w:val="03E4A0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A726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01D00CD"/>
    <w:multiLevelType w:val="hybridMultilevel"/>
    <w:tmpl w:val="B134A3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F5249"/>
    <w:multiLevelType w:val="hybridMultilevel"/>
    <w:tmpl w:val="252C5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D6"/>
    <w:rsid w:val="00025FB4"/>
    <w:rsid w:val="001130D6"/>
    <w:rsid w:val="00390BC7"/>
    <w:rsid w:val="003C6CF6"/>
    <w:rsid w:val="00466BAE"/>
    <w:rsid w:val="00673F54"/>
    <w:rsid w:val="008E6697"/>
    <w:rsid w:val="008F0A1D"/>
    <w:rsid w:val="00913BF1"/>
    <w:rsid w:val="009C3BDC"/>
    <w:rsid w:val="00AC5A7D"/>
    <w:rsid w:val="00D67BCE"/>
    <w:rsid w:val="00E429FC"/>
    <w:rsid w:val="00F3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8A6B"/>
  <w15:chartTrackingRefBased/>
  <w15:docId w15:val="{170E28DD-7E19-4479-A659-3EA48DB2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0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0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0A1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F0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0A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F0A1D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8F0A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913B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E42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2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E4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5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5A7D"/>
  </w:style>
  <w:style w:type="paragraph" w:styleId="Rodap">
    <w:name w:val="footer"/>
    <w:basedOn w:val="Normal"/>
    <w:link w:val="RodapChar"/>
    <w:uiPriority w:val="99"/>
    <w:unhideWhenUsed/>
    <w:rsid w:val="00AC5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5A7D"/>
  </w:style>
  <w:style w:type="paragraph" w:styleId="CabealhodoSumrio">
    <w:name w:val="TOC Heading"/>
    <w:basedOn w:val="Ttulo1"/>
    <w:next w:val="Normal"/>
    <w:uiPriority w:val="39"/>
    <w:unhideWhenUsed/>
    <w:qFormat/>
    <w:rsid w:val="00AC5A7D"/>
    <w:pPr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AC5A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C5A7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5A7D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AC5A7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Lucro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Planilha1!$A$2:$A$9</c:f>
              <c:strCache>
                <c:ptCount val="8"/>
                <c:pt idx="0">
                  <c:v>1900-451</c:v>
                </c:pt>
                <c:pt idx="1">
                  <c:v>2000-549</c:v>
                </c:pt>
                <c:pt idx="2">
                  <c:v>2100-655</c:v>
                </c:pt>
                <c:pt idx="3">
                  <c:v>2200-741</c:v>
                </c:pt>
                <c:pt idx="4">
                  <c:v>2300-831</c:v>
                </c:pt>
                <c:pt idx="5">
                  <c:v>2400-933</c:v>
                </c:pt>
                <c:pt idx="6">
                  <c:v>2500-1043</c:v>
                </c:pt>
                <c:pt idx="7">
                  <c:v>2600-1167</c:v>
                </c:pt>
              </c:strCache>
            </c:strRef>
          </c:cat>
          <c:val>
            <c:numRef>
              <c:f>Planilha1!$B$2:$B$9</c:f>
              <c:numCache>
                <c:formatCode>General</c:formatCode>
                <c:ptCount val="8"/>
                <c:pt idx="0">
                  <c:v>1360324.9739999999</c:v>
                </c:pt>
                <c:pt idx="1">
                  <c:v>1434315.348</c:v>
                </c:pt>
                <c:pt idx="2">
                  <c:v>1655803.122</c:v>
                </c:pt>
                <c:pt idx="3">
                  <c:v>1745278.0490000001</c:v>
                </c:pt>
                <c:pt idx="4">
                  <c:v>1843965.378</c:v>
                </c:pt>
                <c:pt idx="5">
                  <c:v>1939115.416</c:v>
                </c:pt>
                <c:pt idx="6">
                  <c:v>1972108.7180000001</c:v>
                </c:pt>
                <c:pt idx="7">
                  <c:v>2108734.4900000002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60-43AB-BEB6-FF3354FB91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0247264"/>
        <c:axId val="530248576"/>
      </c:lineChart>
      <c:catAx>
        <c:axId val="530247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30248576"/>
        <c:crosses val="autoZero"/>
        <c:auto val="1"/>
        <c:lblAlgn val="ctr"/>
        <c:lblOffset val="100"/>
        <c:noMultiLvlLbl val="0"/>
      </c:catAx>
      <c:valAx>
        <c:axId val="53024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30247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Quebras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Planilha1!$A$2:$A$9</c:f>
              <c:strCache>
                <c:ptCount val="8"/>
                <c:pt idx="0">
                  <c:v>1900-451</c:v>
                </c:pt>
                <c:pt idx="1">
                  <c:v>2000-549</c:v>
                </c:pt>
                <c:pt idx="2">
                  <c:v>2100-655</c:v>
                </c:pt>
                <c:pt idx="3">
                  <c:v>2200-741</c:v>
                </c:pt>
                <c:pt idx="4">
                  <c:v>2300-831</c:v>
                </c:pt>
                <c:pt idx="5">
                  <c:v>2400-933</c:v>
                </c:pt>
                <c:pt idx="6">
                  <c:v>2500-1043</c:v>
                </c:pt>
                <c:pt idx="7">
                  <c:v>2600-1167</c:v>
                </c:pt>
              </c:strCache>
            </c:strRef>
          </c:cat>
          <c:val>
            <c:numRef>
              <c:f>Planilha1!$B$2:$B$9</c:f>
              <c:numCache>
                <c:formatCode>General</c:formatCode>
                <c:ptCount val="8"/>
                <c:pt idx="0">
                  <c:v>19.33333</c:v>
                </c:pt>
                <c:pt idx="1">
                  <c:v>17.6666667</c:v>
                </c:pt>
                <c:pt idx="2">
                  <c:v>13.5</c:v>
                </c:pt>
                <c:pt idx="3">
                  <c:v>11.333299999999999</c:v>
                </c:pt>
                <c:pt idx="4">
                  <c:v>10.83333</c:v>
                </c:pt>
                <c:pt idx="5">
                  <c:v>9</c:v>
                </c:pt>
                <c:pt idx="6">
                  <c:v>8.8333300000000001</c:v>
                </c:pt>
                <c:pt idx="7">
                  <c:v>6.6660000000000004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AE-4278-8D0E-7C6C4046BC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4248112"/>
        <c:axId val="524248440"/>
      </c:lineChart>
      <c:catAx>
        <c:axId val="524248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4248440"/>
        <c:crosses val="autoZero"/>
        <c:auto val="1"/>
        <c:lblAlgn val="ctr"/>
        <c:lblOffset val="100"/>
        <c:noMultiLvlLbl val="0"/>
      </c:catAx>
      <c:valAx>
        <c:axId val="524248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4248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Vendas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Planilha1!$A$2:$A$9</c:f>
              <c:strCache>
                <c:ptCount val="8"/>
                <c:pt idx="0">
                  <c:v>1900-451</c:v>
                </c:pt>
                <c:pt idx="1">
                  <c:v>2000-549</c:v>
                </c:pt>
                <c:pt idx="2">
                  <c:v>2100-655</c:v>
                </c:pt>
                <c:pt idx="3">
                  <c:v>2200-741</c:v>
                </c:pt>
                <c:pt idx="4">
                  <c:v>2300-831</c:v>
                </c:pt>
                <c:pt idx="5">
                  <c:v>2400-933</c:v>
                </c:pt>
                <c:pt idx="6">
                  <c:v>2500-1043</c:v>
                </c:pt>
                <c:pt idx="7">
                  <c:v>2600-1167</c:v>
                </c:pt>
              </c:strCache>
            </c:strRef>
          </c:cat>
          <c:val>
            <c:numRef>
              <c:f>Planilha1!$B$2:$B$9</c:f>
              <c:numCache>
                <c:formatCode>General</c:formatCode>
                <c:ptCount val="8"/>
                <c:pt idx="0">
                  <c:v>13013.166670000001</c:v>
                </c:pt>
                <c:pt idx="1">
                  <c:v>13446.5</c:v>
                </c:pt>
                <c:pt idx="2">
                  <c:v>15079</c:v>
                </c:pt>
                <c:pt idx="3">
                  <c:v>15726.3333</c:v>
                </c:pt>
                <c:pt idx="4">
                  <c:v>16366.3333</c:v>
                </c:pt>
                <c:pt idx="5">
                  <c:v>17025.166669999999</c:v>
                </c:pt>
                <c:pt idx="6">
                  <c:v>17266.833299999998</c:v>
                </c:pt>
                <c:pt idx="7">
                  <c:v>18282.832999999999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8D-4F17-8410-8C2CE4FA40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322768"/>
        <c:axId val="521317520"/>
      </c:lineChart>
      <c:catAx>
        <c:axId val="521322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1317520"/>
        <c:crosses val="autoZero"/>
        <c:auto val="1"/>
        <c:lblAlgn val="ctr"/>
        <c:lblOffset val="100"/>
        <c:noMultiLvlLbl val="0"/>
      </c:catAx>
      <c:valAx>
        <c:axId val="52131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1322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CFBF6-2CC6-495A-9219-6E4A1D2FE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1328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Monteiro</dc:creator>
  <cp:keywords/>
  <dc:description/>
  <cp:lastModifiedBy>Filipe Pimenta Oliveira Monteiro</cp:lastModifiedBy>
  <cp:revision>2</cp:revision>
  <dcterms:created xsi:type="dcterms:W3CDTF">2019-05-12T20:48:00Z</dcterms:created>
  <dcterms:modified xsi:type="dcterms:W3CDTF">2019-05-12T22:35:00Z</dcterms:modified>
</cp:coreProperties>
</file>