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Isabela Fajardo</w:t>
      </w:r>
    </w:p>
    <w:p>
      <w:pPr>
        <w:spacing w:after="120"/>
        <w:jc w:val="center"/>
      </w:pPr>
      <w:r>
        <w:rPr>
          <w:rFonts w:ascii="Arial" w:cs="Arial" w:eastAsia="Arial" w:hAnsi="Arial"/>
          <w:sz w:val="20"/>
          <w:szCs w:val="20"/>
        </w:rPr>
        <w:t xml:space="preserve">New York, NY  |  917 674 2916  |  isabela.fajardo.pena@gmail.com  |  linkedin.com/in/isabela-fajardo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Luxury retail professional with experience managing complex, high-touch relationships with 50+ enterprise brand partners at Bergdorf Goodman. Skilled in juggling multiple high-value accounts simultaneously, engaging confidently with senior stakeholders, and maintaining a consistent standard for quality and responsiveness. Comfortable executing under tight deadlines in fast-paced, ambiguous environments, with strong organizational systems and clear written and verbal communication.</w:t>
      </w:r>
    </w:p>
    <w:p>
      <w:pPr>
        <w:pBdr>
          <w:bottom w:val="single" w:color="000000" w:sz="4" w:space="1"/>
        </w:pBd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3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Assistant Buyer, Women's Shoes  |  Bergdorf Goodman</w:t>
      </w:r>
      <w:r>
        <w:rPr>
          <w:rFonts w:ascii="Arial" w:cs="Arial" w:eastAsia="Arial" w:hAnsi="Arial"/>
          <w:i/>
          <w:iCs/>
          <w:sz w:val="20"/>
          <w:szCs w:val="20"/>
        </w:rPr>
        <w:ptab w:alignment="right" w:leader="none"/>
      </w:r>
      <w:r>
        <w:rPr>
          <w:rFonts w:ascii="Arial" w:cs="Arial" w:eastAsia="Arial" w:hAnsi="Arial"/>
          <w:i/>
          <w:iCs/>
          <w:sz w:val="20"/>
          <w:szCs w:val="20"/>
        </w:rPr>
        <w:t xml:space="preserve">October 2025 to Present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Own the commercial relationship with 50+ luxury brand partners, serving as the primary point of contact for all account activity, in-season execution, and escalations, ensuring timely and accurate delivery of deliverables.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Manage multiple high-touch accounts simultaneously, prioritizing competing demands while maintaining a consistent standard of quality and responsiveness for every partner.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Lead negotiations with vendor partners on seasonal buys, pricing, flow adjustments, and cancellations, managing the full purchase order lifecycle end to end.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Attend and lead in-person and virtual meetings with brand partners, tracking action items and following through on execution across internal teams.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Translate weekly sales and performance data into clear, actionable recommendations for the Buyer and senior leadership, synthesizing account data and business goals into direction partners can act 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Prepare and present business recaps used in cross-functional reviews and brand partner QBR-style meetings, aligning stakeholders at every level.</w:t>
      </w:r>
    </w:p>
    <w:p>
      <w:pPr>
        <w:tabs>
          <w:tab w:val="right" w:pos="9026"/>
        </w:tabs>
        <w:spacing w:after="3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Founder &amp; CEO  |  TEODORA</w:t>
      </w:r>
      <w:r>
        <w:rPr>
          <w:rFonts w:ascii="Arial" w:cs="Arial" w:eastAsia="Arial" w:hAnsi="Arial"/>
          <w:i/>
          <w:iCs/>
          <w:sz w:val="20"/>
          <w:szCs w:val="20"/>
        </w:rPr>
        <w:ptab w:alignment="right" w:leader="none"/>
      </w:r>
      <w:r>
        <w:rPr>
          <w:rFonts w:ascii="Arial" w:cs="Arial" w:eastAsia="Arial" w:hAnsi="Arial"/>
          <w:i/>
          <w:iCs/>
          <w:sz w:val="20"/>
          <w:szCs w:val="20"/>
        </w:rPr>
        <w:t xml:space="preserve">November 2024 to Present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Founded a fine jewelry brand built on 18K gold and Colombian emeralds, overseeing brand strategy, product development, and go-to-market execution.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Created and launched the brand's first collection of 11 SKUs, sourcing Fairmined gold as a core sustainability pillar.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Participated in industry trade shows to build brand presence and pursue retail and press relationships.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Building toward a Couture Las Vegas show application, positioning the brand within the fine jewelry trade circuit.</w:t>
      </w:r>
    </w:p>
    <w:p>
      <w:pPr>
        <w:tabs>
          <w:tab w:val="right" w:pos="9026"/>
        </w:tabs>
        <w:spacing w:after="3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Merchandise Coordinator, Designer Handbags  |  Bergdorf Goodman</w:t>
      </w:r>
      <w:r>
        <w:rPr>
          <w:rFonts w:ascii="Arial" w:cs="Arial" w:eastAsia="Arial" w:hAnsi="Arial"/>
          <w:i/>
          <w:iCs/>
          <w:sz w:val="20"/>
          <w:szCs w:val="20"/>
        </w:rPr>
        <w:ptab w:alignment="right" w:leader="none"/>
      </w:r>
      <w:r>
        <w:rPr>
          <w:rFonts w:ascii="Arial" w:cs="Arial" w:eastAsia="Arial" w:hAnsi="Arial"/>
          <w:i/>
          <w:iCs/>
          <w:sz w:val="20"/>
          <w:szCs w:val="20"/>
        </w:rPr>
        <w:t xml:space="preserve">March 2024 to September 2025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Supported Buyers in managing performance across a portfolio of luxury brand accounts, maintaining accurate and up to date account data and reporting used weekly in team and partner reviews.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Managed vendor communication on purchase orders, product flow, markdowns, and promotional activities, ensuring smooth execution and strong partner relationships under tight timelines.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Prepared weekly business recaps and ad hoc analyses for internal strategy discussions and brand meetings.</w:t>
      </w:r>
    </w:p>
    <w:p>
      <w:pPr>
        <w:tabs>
          <w:tab w:val="right" w:pos="9026"/>
        </w:tabs>
        <w:spacing w:after="3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Sales and Marketing Assistant  |  Estée Lauder Companies</w:t>
      </w:r>
      <w:r>
        <w:rPr>
          <w:rFonts w:ascii="Arial" w:cs="Arial" w:eastAsia="Arial" w:hAnsi="Arial"/>
          <w:i/>
          <w:iCs/>
          <w:sz w:val="20"/>
          <w:szCs w:val="20"/>
        </w:rPr>
        <w:ptab w:alignment="right" w:leader="none"/>
      </w:r>
      <w:r>
        <w:rPr>
          <w:rFonts w:ascii="Arial" w:cs="Arial" w:eastAsia="Arial" w:hAnsi="Arial"/>
          <w:i/>
          <w:iCs/>
          <w:sz w:val="20"/>
          <w:szCs w:val="20"/>
        </w:rPr>
        <w:t xml:space="preserve">August 2023 to February 2024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Compiled and analyzed CRM sales data to generate weekly performance reports for commercial team use.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Conducted market and consumer research to inform product and campaign strategy across retail and digital channels.</w:t>
      </w:r>
    </w:p>
    <w:p>
      <w:pPr>
        <w:tabs>
          <w:tab w:val="right" w:pos="9026"/>
        </w:tabs>
        <w:spacing w:after="3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Wholesale Assistant  |  Missoni</w:t>
      </w:r>
      <w:r>
        <w:rPr>
          <w:rFonts w:ascii="Arial" w:cs="Arial" w:eastAsia="Arial" w:hAnsi="Arial"/>
          <w:i/>
          <w:iCs/>
          <w:sz w:val="20"/>
          <w:szCs w:val="20"/>
        </w:rPr>
        <w:ptab w:alignment="right" w:leader="none"/>
      </w:r>
      <w:r>
        <w:rPr>
          <w:rFonts w:ascii="Arial" w:cs="Arial" w:eastAsia="Arial" w:hAnsi="Arial"/>
          <w:i/>
          <w:iCs/>
          <w:sz w:val="20"/>
          <w:szCs w:val="20"/>
        </w:rPr>
        <w:t xml:space="preserve">January 2023 to June 2023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Supported wholesale account management across major department and specialty store accounts, handling order management and sell-through follow-up.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Built competitive landscape and reporting materials for sales leadership; managed showroom inventory and samples during market season.</w:t>
      </w:r>
    </w:p>
    <w:p>
      <w:pPr>
        <w:pBdr>
          <w:bottom w:val="single" w:color="000000" w:sz="4" w:space="1"/>
        </w:pBd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3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CESA  |  BBA in Business Administration, Concentration in Entrepreneurship</w:t>
      </w:r>
      <w:r>
        <w:rPr>
          <w:rFonts w:ascii="Arial" w:cs="Arial" w:eastAsia="Arial" w:hAnsi="Arial"/>
          <w:i/>
          <w:iCs/>
          <w:sz w:val="20"/>
          <w:szCs w:val="20"/>
        </w:rPr>
        <w:ptab w:alignment="right" w:leader="none"/>
      </w:r>
      <w:r>
        <w:rPr>
          <w:rFonts w:ascii="Arial" w:cs="Arial" w:eastAsia="Arial" w:hAnsi="Arial"/>
          <w:i/>
          <w:iCs/>
          <w:sz w:val="20"/>
          <w:szCs w:val="20"/>
        </w:rPr>
        <w:t xml:space="preserve">2023</w:t>
      </w:r>
    </w:p>
    <w:p>
      <w:pPr>
        <w:tabs>
          <w:tab w:val="right" w:pos="9026"/>
        </w:tabs>
        <w:spacing w:after="3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Instituto Marangoni  |  Fashion Business Exchange Program</w:t>
      </w:r>
      <w:r>
        <w:rPr>
          <w:rFonts w:ascii="Arial" w:cs="Arial" w:eastAsia="Arial" w:hAnsi="Arial"/>
          <w:i/>
          <w:iCs/>
          <w:sz w:val="20"/>
          <w:szCs w:val="20"/>
        </w:rPr>
        <w:ptab w:alignment="right" w:leader="none"/>
      </w:r>
      <w:r>
        <w:rPr>
          <w:rFonts w:ascii="Arial" w:cs="Arial" w:eastAsia="Arial" w:hAnsi="Arial"/>
          <w:i/>
          <w:iCs/>
          <w:sz w:val="20"/>
          <w:szCs w:val="20"/>
        </w:rPr>
        <w:t xml:space="preserve">2022</w:t>
      </w:r>
    </w:p>
    <w:p>
      <w:pPr>
        <w:pBdr>
          <w:bottom w:val="single" w:color="000000" w:sz="4" w:space="1"/>
        </w:pBd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SKILLS &amp; LANGUAGES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Account &amp; relationship management  |  Senior stakeholder communication  |  Multi-account prioritization  |  Commercial negotiation  |  Data analysis &amp; reporting  |  Advanced Excel  |  JOOR  |  PowerPoint  |  Google Workspace  |  Zoom</w:t>
      </w:r>
    </w:p>
    <w:p>
      <w:r>
        <w:rPr>
          <w:rFonts w:ascii="Arial" w:cs="Arial" w:eastAsia="Arial" w:hAnsi="Arial"/>
          <w:sz w:val="20"/>
          <w:szCs w:val="20"/>
        </w:rPr>
        <w:t xml:space="preserve">Spanish: Native  |  English: Fluent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2026-07-01T21:31:12.450Z</dcterms:created>
  <dcterms:modified xsi:type="dcterms:W3CDTF">2026-07-01T21:31:12.450Z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