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/>
          <w:b/>
          <w:sz w:val="32"/>
        </w:rPr>
        <w:t>OWEN P. SHEEHAN</w:t>
      </w:r>
    </w:p>
    <w:p>
      <w:pPr>
        <w:spacing w:after="40"/>
        <w:jc w:val="center"/>
      </w:pPr>
      <w:r>
        <w:rPr>
          <w:rFonts w:ascii="Arial" w:hAnsi="Arial"/>
          <w:sz w:val="19"/>
        </w:rPr>
        <w:t>(650) 207-5615  |  owenpsheehan@gmail.com  |  New York, NY</w:t>
      </w:r>
    </w:p>
    <w:p>
      <w:pPr>
        <w:spacing w:before="90" w:after="50"/>
        <w:pBdr>
          <w:bottom w:val="single" w:sz="7" w:space="2" w:color="000000"/>
        </w:pBdr>
      </w:pPr>
      <w:r>
        <w:rPr>
          <w:rFonts w:ascii="Arial" w:hAnsi="Arial"/>
          <w:b/>
          <w:sz w:val="20"/>
        </w:rPr>
        <w:t>PROFESSIONAL EXPERIENCE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496"/>
        <w:gridCol w:w="2088"/>
      </w:tblGrid>
      <w:tr>
        <w:trPr>
          <w:cantSplit/>
        </w:trPr>
        <w:tc>
          <w:tcPr>
            <w:tcW w:type="dxa" w:w="849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</w:rPr>
              <w:t>MULTIPLY MORTGAGE</w:t>
            </w:r>
          </w:p>
        </w:tc>
        <w:tc>
          <w:tcPr>
            <w:tcW w:type="dxa" w:w="208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i w:val="0"/>
              </w:rPr>
              <w:t>New York, NY</w:t>
            </w:r>
          </w:p>
        </w:tc>
      </w:tr>
    </w:tbl>
    <w:p>
      <w:pPr>
        <w:spacing w:before="0" w:after="20"/>
      </w:pPr>
      <w:r>
        <w:rPr>
          <w:rFonts w:ascii="Arial" w:hAnsi="Arial"/>
          <w:i/>
        </w:rPr>
        <w:t>Kleiner Perkins-backed mortgage fintech with approximately 40 employees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496"/>
        <w:gridCol w:w="2088"/>
      </w:tblGrid>
      <w:tr>
        <w:trPr>
          <w:cantSplit/>
        </w:trPr>
        <w:tc>
          <w:tcPr>
            <w:tcW w:type="dxa" w:w="849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</w:rPr>
              <w:t>Associate, Strategic Finance</w:t>
            </w:r>
          </w:p>
        </w:tc>
        <w:tc>
          <w:tcPr>
            <w:tcW w:type="dxa" w:w="208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i w:val="0"/>
              </w:rPr>
              <w:t>Aug 2026 - Present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496"/>
        <w:gridCol w:w="2088"/>
      </w:tblGrid>
      <w:tr>
        <w:trPr>
          <w:cantSplit/>
        </w:trPr>
        <w:tc>
          <w:tcPr>
            <w:tcW w:type="dxa" w:w="849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</w:rPr>
              <w:t>Strategic Finance Analyst</w:t>
            </w:r>
          </w:p>
        </w:tc>
        <w:tc>
          <w:tcPr>
            <w:tcW w:type="dxa" w:w="208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i w:val="0"/>
              </w:rPr>
              <w:t>Nov 2025 - Aug 2026</w:t>
            </w:r>
          </w:p>
        </w:tc>
      </w:tr>
    </w:tbl>
    <w:p>
      <w:pPr>
        <w:spacing w:after="34" w:line="240" w:lineRule="auto"/>
        <w:ind w:left="259" w:hanging="187" w:right="29"/>
      </w:pPr>
      <w:r>
        <w:rPr>
          <w:rFonts w:ascii="Arial" w:hAnsi="Arial"/>
        </w:rPr>
        <w:t xml:space="preserve">• </w:t>
      </w:r>
      <w:r>
        <w:rPr>
          <w:rFonts w:ascii="Arial" w:hAnsi="Arial"/>
        </w:rPr>
        <w:t>Promoted within nine months after expanding from strategic finance into ownership of post-closing operations and investor relationships; lead coordination among processors, engineering, investors, and document providers supporting approximately $25M in monthly originations.</w:t>
      </w:r>
    </w:p>
    <w:p>
      <w:pPr>
        <w:spacing w:after="34" w:line="240" w:lineRule="auto"/>
        <w:ind w:left="259" w:hanging="187" w:right="29"/>
      </w:pPr>
      <w:r>
        <w:rPr>
          <w:rFonts w:ascii="Arial" w:hAnsi="Arial"/>
        </w:rPr>
        <w:t xml:space="preserve">• </w:t>
      </w:r>
      <w:r>
        <w:rPr>
          <w:rFonts w:ascii="Arial" w:hAnsi="Arial"/>
        </w:rPr>
        <w:t>Redesigned correspondent unit-economics reporting after identifying gaps in pricing, revenue, and financing measurement; built a loan-level priced-to-gross-to-net bridge that prompted a shift from net to gross revenue reporting, increasing reported correspondent revenue by 37%.</w:t>
      </w:r>
    </w:p>
    <w:p>
      <w:pPr>
        <w:spacing w:after="34" w:line="240" w:lineRule="auto"/>
        <w:ind w:left="259" w:hanging="187" w:right="29"/>
      </w:pPr>
      <w:r>
        <w:rPr>
          <w:rFonts w:ascii="Arial" w:hAnsi="Arial"/>
        </w:rPr>
        <w:t xml:space="preserve">• </w:t>
      </w:r>
      <w:r>
        <w:rPr>
          <w:rFonts w:ascii="Arial" w:hAnsi="Arial"/>
        </w:rPr>
        <w:t>Recovered and recognized $62,376 in previously uncollected first-payment revenue across 16 loans by identifying differences among investor payment policies; created a repeatable reconciliation process to prevent future leakage.</w:t>
      </w:r>
    </w:p>
    <w:p>
      <w:pPr>
        <w:spacing w:after="34" w:line="240" w:lineRule="auto"/>
        <w:ind w:left="259" w:hanging="187" w:right="29"/>
      </w:pPr>
      <w:r>
        <w:rPr>
          <w:rFonts w:ascii="Arial" w:hAnsi="Arial"/>
        </w:rPr>
        <w:t xml:space="preserve">• </w:t>
      </w:r>
      <w:r>
        <w:rPr>
          <w:rFonts w:ascii="Arial" w:hAnsi="Arial"/>
        </w:rPr>
        <w:t>Designed warehouse-routing logic for approximately $20M in monthly correspondent volume and identified across analyzed loans that retained mortgage interest nearly offset warehouse interest, reframing days-on-line analysis around net carry, fees, and line capacity.</w:t>
      </w:r>
    </w:p>
    <w:p>
      <w:pPr>
        <w:spacing w:after="34" w:line="240" w:lineRule="auto"/>
        <w:ind w:left="259" w:hanging="187" w:right="29"/>
      </w:pPr>
      <w:r>
        <w:rPr>
          <w:rFonts w:ascii="Arial" w:hAnsi="Arial"/>
        </w:rPr>
        <w:t xml:space="preserve">• </w:t>
      </w:r>
      <w:r>
        <w:rPr>
          <w:rFonts w:ascii="Arial" w:hAnsi="Arial"/>
        </w:rPr>
        <w:t>Own balance-sheet projections for the three-statement forecast used by the CEO and COO to manage runway; produce monthly cash, revenue, and accounts-receivable reporting and conduct pricing and incentive analyses.</w:t>
      </w:r>
    </w:p>
    <w:p>
      <w:pPr>
        <w:spacing w:after="34" w:line="240" w:lineRule="auto"/>
        <w:ind w:left="259" w:hanging="187" w:right="29"/>
      </w:pPr>
      <w:r>
        <w:rPr>
          <w:rFonts w:ascii="Arial" w:hAnsi="Arial"/>
        </w:rPr>
        <w:t xml:space="preserve">• </w:t>
      </w:r>
      <w:r>
        <w:rPr>
          <w:rFonts w:ascii="Arial" w:hAnsi="Arial"/>
        </w:rPr>
        <w:t>Led evaluation of closing automation, identified controls requiring dedicated human ownership, and secured approval to hire a closer; improved purchase speed and reduced conditions through tighter coordination with processors, engineering, and the document provider.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496"/>
        <w:gridCol w:w="2088"/>
      </w:tblGrid>
      <w:tr>
        <w:trPr>
          <w:cantSplit/>
        </w:trPr>
        <w:tc>
          <w:tcPr>
            <w:tcW w:type="dxa" w:w="849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40" w:after="0"/>
            </w:pPr>
            <w:r>
              <w:rPr>
                <w:rFonts w:ascii="Arial" w:hAnsi="Arial"/>
                <w:b/>
                <w:i w:val="0"/>
              </w:rPr>
              <w:t>SILICON VALLEY BANK</w:t>
            </w:r>
          </w:p>
        </w:tc>
        <w:tc>
          <w:tcPr>
            <w:tcW w:type="dxa" w:w="208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40" w:after="0"/>
              <w:jc w:val="right"/>
            </w:pPr>
            <w:r>
              <w:rPr>
                <w:rFonts w:ascii="Arial" w:hAnsi="Arial"/>
                <w:b/>
                <w:i w:val="0"/>
              </w:rPr>
              <w:t>San Francisco, CA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496"/>
        <w:gridCol w:w="2088"/>
      </w:tblGrid>
      <w:tr>
        <w:trPr>
          <w:cantSplit/>
        </w:trPr>
        <w:tc>
          <w:tcPr>
            <w:tcW w:type="dxa" w:w="849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</w:rPr>
              <w:t>Associate, Credit Rotational Program</w:t>
            </w:r>
          </w:p>
        </w:tc>
        <w:tc>
          <w:tcPr>
            <w:tcW w:type="dxa" w:w="208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i w:val="0"/>
              </w:rPr>
              <w:t>Sep 2023 - Oct 2025</w:t>
            </w:r>
          </w:p>
        </w:tc>
      </w:tr>
    </w:tbl>
    <w:p>
      <w:pPr>
        <w:spacing w:after="34" w:line="240" w:lineRule="auto"/>
        <w:ind w:left="259" w:hanging="187" w:right="29"/>
      </w:pPr>
      <w:r>
        <w:rPr>
          <w:rFonts w:ascii="Arial" w:hAnsi="Arial"/>
        </w:rPr>
        <w:t xml:space="preserve">• </w:t>
      </w:r>
      <w:r>
        <w:rPr>
          <w:rFonts w:ascii="Arial" w:hAnsi="Arial"/>
        </w:rPr>
        <w:t>Selected for a rotational credit program spanning leveraged finance, fund finance, accelerator/growth, and warehouse finance, complemented by two months of formal underwriting training.</w:t>
      </w:r>
    </w:p>
    <w:p>
      <w:pPr>
        <w:spacing w:after="34" w:line="240" w:lineRule="auto"/>
        <w:ind w:left="259" w:hanging="187" w:right="29"/>
      </w:pPr>
      <w:r>
        <w:rPr>
          <w:rFonts w:ascii="Arial" w:hAnsi="Arial"/>
        </w:rPr>
        <w:t xml:space="preserve">• </w:t>
      </w:r>
      <w:r>
        <w:rPr>
          <w:rFonts w:ascii="Arial" w:hAnsi="Arial"/>
        </w:rPr>
        <w:t>Underwrote nearly a dozen warehouse facilities and term loans with commitments ranging from $3M to $100M, developing financial models, credit packages, and structuring recommendations.</w:t>
      </w:r>
    </w:p>
    <w:p>
      <w:pPr>
        <w:spacing w:after="34" w:line="240" w:lineRule="auto"/>
        <w:ind w:left="259" w:hanging="187" w:right="29"/>
      </w:pPr>
      <w:r>
        <w:rPr>
          <w:rFonts w:ascii="Arial" w:hAnsi="Arial"/>
        </w:rPr>
        <w:t xml:space="preserve">• </w:t>
      </w:r>
      <w:r>
        <w:rPr>
          <w:rFonts w:ascii="Arial" w:hAnsi="Arial"/>
        </w:rPr>
        <w:t>Analyzed collateral, borrowing bases, loss coverage, covenant compliance, and funding availability to support portfolio and credit decisions.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496"/>
        <w:gridCol w:w="2088"/>
      </w:tblGrid>
      <w:tr>
        <w:trPr>
          <w:cantSplit/>
        </w:trPr>
        <w:tc>
          <w:tcPr>
            <w:tcW w:type="dxa" w:w="849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40" w:after="0"/>
            </w:pPr>
            <w:r>
              <w:rPr>
                <w:rFonts w:ascii="Arial" w:hAnsi="Arial"/>
                <w:b/>
                <w:i w:val="0"/>
              </w:rPr>
              <w:t>MIZUHO SECURITIES</w:t>
            </w:r>
          </w:p>
        </w:tc>
        <w:tc>
          <w:tcPr>
            <w:tcW w:type="dxa" w:w="208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40" w:after="0"/>
              <w:jc w:val="right"/>
            </w:pPr>
            <w:r>
              <w:rPr>
                <w:rFonts w:ascii="Arial" w:hAnsi="Arial"/>
                <w:b/>
                <w:i w:val="0"/>
              </w:rPr>
              <w:t>New York, NY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496"/>
        <w:gridCol w:w="2088"/>
      </w:tblGrid>
      <w:tr>
        <w:trPr>
          <w:cantSplit/>
        </w:trPr>
        <w:tc>
          <w:tcPr>
            <w:tcW w:type="dxa" w:w="849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</w:rPr>
              <w:t>Sales and Trading Summer Analyst</w:t>
            </w:r>
          </w:p>
        </w:tc>
        <w:tc>
          <w:tcPr>
            <w:tcW w:type="dxa" w:w="208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i w:val="0"/>
              </w:rPr>
              <w:t>May 2022 - Aug 2022</w:t>
            </w:r>
          </w:p>
        </w:tc>
      </w:tr>
    </w:tbl>
    <w:p>
      <w:pPr>
        <w:spacing w:after="34" w:line="240" w:lineRule="auto"/>
        <w:ind w:left="259" w:hanging="187" w:right="29"/>
      </w:pPr>
      <w:r>
        <w:rPr>
          <w:rFonts w:ascii="Arial" w:hAnsi="Arial"/>
        </w:rPr>
        <w:t xml:space="preserve">• </w:t>
      </w:r>
      <w:r>
        <w:rPr>
          <w:rFonts w:ascii="Arial" w:hAnsi="Arial"/>
        </w:rPr>
        <w:t>Automated Excel dashboards using Bloomberg APIs to track leverage, ratings, and balances across loan-trading books; also developed and presented a strategic acquisition and cross-sell pitch.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496"/>
        <w:gridCol w:w="2088"/>
      </w:tblGrid>
      <w:tr>
        <w:trPr>
          <w:cantSplit/>
        </w:trPr>
        <w:tc>
          <w:tcPr>
            <w:tcW w:type="dxa" w:w="849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40" w:after="0"/>
            </w:pPr>
            <w:r>
              <w:rPr>
                <w:rFonts w:ascii="Arial" w:hAnsi="Arial"/>
                <w:b/>
                <w:i w:val="0"/>
              </w:rPr>
              <w:t>SOFI TECHNOLOGIES</w:t>
            </w:r>
          </w:p>
        </w:tc>
        <w:tc>
          <w:tcPr>
            <w:tcW w:type="dxa" w:w="208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40" w:after="0"/>
              <w:jc w:val="right"/>
            </w:pPr>
            <w:r>
              <w:rPr>
                <w:rFonts w:ascii="Arial" w:hAnsi="Arial"/>
                <w:b/>
                <w:i w:val="0"/>
              </w:rPr>
              <w:t>San Francisco, CA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496"/>
        <w:gridCol w:w="2088"/>
      </w:tblGrid>
      <w:tr>
        <w:trPr>
          <w:cantSplit/>
        </w:trPr>
        <w:tc>
          <w:tcPr>
            <w:tcW w:type="dxa" w:w="849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</w:rPr>
              <w:t>Corporate Development Intern</w:t>
            </w:r>
          </w:p>
        </w:tc>
        <w:tc>
          <w:tcPr>
            <w:tcW w:type="dxa" w:w="208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i w:val="0"/>
              </w:rPr>
              <w:t>Jun 2021 - Aug 2021</w:t>
            </w:r>
          </w:p>
        </w:tc>
      </w:tr>
    </w:tbl>
    <w:p>
      <w:pPr>
        <w:spacing w:after="34" w:line="240" w:lineRule="auto"/>
        <w:ind w:left="259" w:hanging="187" w:right="29"/>
      </w:pPr>
      <w:r>
        <w:rPr>
          <w:rFonts w:ascii="Arial" w:hAnsi="Arial"/>
        </w:rPr>
        <w:t xml:space="preserve">• </w:t>
      </w:r>
      <w:r>
        <w:rPr>
          <w:rFonts w:ascii="Arial" w:hAnsi="Arial"/>
        </w:rPr>
        <w:t>Evaluated product and geographic expansion opportunities across Europe and Africa, presenting market-entry models and strategic recommendations to senior leadership.</w:t>
      </w:r>
    </w:p>
    <w:p>
      <w:pPr>
        <w:spacing w:before="90" w:after="50"/>
        <w:pBdr>
          <w:bottom w:val="single" w:sz="7" w:space="2" w:color="000000"/>
        </w:pBdr>
      </w:pPr>
      <w:r>
        <w:rPr>
          <w:rFonts w:ascii="Arial" w:hAnsi="Arial"/>
          <w:b/>
          <w:sz w:val="20"/>
        </w:rPr>
        <w:t>EDUCATION AND LEADERSHIP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496"/>
        <w:gridCol w:w="2088"/>
      </w:tblGrid>
      <w:tr>
        <w:trPr>
          <w:cantSplit/>
        </w:trPr>
        <w:tc>
          <w:tcPr>
            <w:tcW w:type="dxa" w:w="849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</w:rPr>
              <w:t>GEORGETOWN UNIVERSITY</w:t>
            </w:r>
          </w:p>
        </w:tc>
        <w:tc>
          <w:tcPr>
            <w:tcW w:type="dxa" w:w="208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i w:val="0"/>
              </w:rPr>
              <w:t>Washington, DC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496"/>
        <w:gridCol w:w="2088"/>
      </w:tblGrid>
      <w:tr>
        <w:trPr>
          <w:cantSplit/>
        </w:trPr>
        <w:tc>
          <w:tcPr>
            <w:tcW w:type="dxa" w:w="849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</w:rPr>
              <w:t>Bachelor of Arts in Mathematics; Minor in Business Administration</w:t>
            </w:r>
          </w:p>
        </w:tc>
        <w:tc>
          <w:tcPr>
            <w:tcW w:type="dxa" w:w="208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i w:val="0"/>
              </w:rPr>
              <w:t>May 2023</w:t>
            </w:r>
          </w:p>
        </w:tc>
      </w:tr>
    </w:tbl>
    <w:p>
      <w:pPr>
        <w:spacing w:before="0" w:after="20"/>
      </w:pPr>
      <w:r>
        <w:rPr>
          <w:rFonts w:ascii="Arial" w:hAnsi="Arial"/>
          <w:i w:val="0"/>
        </w:rPr>
        <w:t>GPA: 3.3/4.0  |  GMAT Focus: 705</w:t>
      </w:r>
    </w:p>
    <w:p>
      <w:pPr>
        <w:spacing w:after="34" w:line="240" w:lineRule="auto"/>
        <w:ind w:left="259" w:hanging="187" w:right="29"/>
      </w:pPr>
      <w:r>
        <w:rPr>
          <w:rFonts w:ascii="Arial" w:hAnsi="Arial"/>
        </w:rPr>
        <w:t xml:space="preserve">• </w:t>
      </w:r>
      <w:r>
        <w:rPr>
          <w:rFonts w:ascii="Arial" w:hAnsi="Arial"/>
        </w:rPr>
        <w:t>Founding Member and Men's Captain, Georgetown Ski Team; Analyst, Georgetown Collegiate Investors</w:t>
      </w:r>
    </w:p>
    <w:p>
      <w:pPr>
        <w:spacing w:before="90" w:after="50"/>
        <w:pBdr>
          <w:bottom w:val="single" w:sz="7" w:space="2" w:color="000000"/>
        </w:pBdr>
      </w:pPr>
      <w:r>
        <w:rPr>
          <w:rFonts w:ascii="Arial" w:hAnsi="Arial"/>
          <w:b/>
          <w:sz w:val="20"/>
        </w:rPr>
        <w:t>ADDITIONAL INFORMATION</w:t>
      </w:r>
    </w:p>
    <w:p>
      <w:pPr>
        <w:spacing w:before="0" w:after="0"/>
      </w:pPr>
      <w:r>
        <w:rPr>
          <w:rFonts w:ascii="Arial" w:hAnsi="Arial"/>
          <w:i w:val="0"/>
        </w:rPr>
        <w:t>Skills: Excel, PowerPoint, Bloomberg, VBA, Python</w:t>
      </w:r>
    </w:p>
    <w:p>
      <w:pPr>
        <w:spacing w:before="0" w:after="0"/>
      </w:pPr>
      <w:r>
        <w:rPr>
          <w:rFonts w:ascii="Arial" w:hAnsi="Arial"/>
          <w:i w:val="0"/>
        </w:rPr>
        <w:t>Interests: Mets baseball; French cooking; historical fiction; ski films; golf (13 handicap)</w:t>
      </w:r>
    </w:p>
    <w:sectPr w:rsidR="00FC693F" w:rsidRPr="0006063C" w:rsidSect="00034616">
      <w:pgSz w:w="12240" w:h="15840"/>
      <w:pgMar w:top="720" w:right="835" w:bottom="720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