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Initial Grants 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Payout process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sz w:val="96"/>
          <w:szCs w:val="96"/>
          <w:highlight w:val="yell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3"/>
            <w:szCs w:val="23"/>
            <w:highlight w:val="white"/>
            <w:u w:val="single"/>
            <w:rtl w:val="0"/>
          </w:rPr>
          <w:t xml:space="preserve">https://factomize.com/forums/threads/implementing-the-initial-grants.428/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left"/>
      <w:rPr/>
    </w:pPr>
    <w:r w:rsidDel="00000000" w:rsidR="00000000" w:rsidRPr="00000000">
      <w:rPr>
        <w:rtl w:val="0"/>
      </w:rPr>
      <w:t xml:space="preserve"> V. 0.1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Initial grants - Payout process</w:t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4A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factomize.com/forums/threads/implementing-the-initial-grants.428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