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4zalngyq7yl" w:id="0"/>
      <w:bookmarkEnd w:id="0"/>
      <w:r w:rsidDel="00000000" w:rsidR="00000000" w:rsidRPr="00000000">
        <w:rPr>
          <w:rtl w:val="0"/>
        </w:rPr>
        <w:t xml:space="preserve">Tasks in no specific order.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color w:val="0000ff"/>
          <w:highlight w:val="white"/>
        </w:rPr>
      </w:pPr>
      <w:r w:rsidDel="00000000" w:rsidR="00000000" w:rsidRPr="00000000">
        <w:rPr>
          <w:color w:val="0000ff"/>
          <w:highlight w:val="white"/>
          <w:rtl w:val="0"/>
        </w:rPr>
        <w:t xml:space="preserve">Determine meeting agenda document format - </w:t>
      </w:r>
      <w:r w:rsidDel="00000000" w:rsidR="00000000" w:rsidRPr="00000000">
        <w:rPr>
          <w:b w:val="1"/>
          <w:color w:val="0000ff"/>
          <w:highlight w:val="white"/>
          <w:rtl w:val="0"/>
        </w:rPr>
        <w:t xml:space="preserve">DONE!</w:t>
      </w:r>
    </w:p>
    <w:p w:rsidR="00000000" w:rsidDel="00000000" w:rsidP="00000000" w:rsidRDefault="00000000" w:rsidRPr="00000000" w14:paraId="00000004">
      <w:pPr>
        <w:rPr>
          <w:b w:val="1"/>
          <w:highlight w:val="white"/>
        </w:rPr>
      </w:pPr>
      <w:r w:rsidDel="00000000" w:rsidR="00000000" w:rsidRPr="00000000">
        <w:rPr>
          <w:rtl w:val="0"/>
        </w:rPr>
      </w:r>
    </w:p>
    <w:p w:rsidR="00000000" w:rsidDel="00000000" w:rsidP="00000000" w:rsidRDefault="00000000" w:rsidRPr="00000000" w14:paraId="00000005">
      <w:pPr>
        <w:numPr>
          <w:ilvl w:val="0"/>
          <w:numId w:val="8"/>
        </w:numPr>
        <w:ind w:left="720" w:hanging="360"/>
        <w:rPr>
          <w:color w:val="4a86e8"/>
          <w:highlight w:val="white"/>
        </w:rPr>
      </w:pPr>
      <w:r w:rsidDel="00000000" w:rsidR="00000000" w:rsidRPr="00000000">
        <w:rPr>
          <w:color w:val="4a86e8"/>
          <w:highlight w:val="white"/>
          <w:rtl w:val="0"/>
        </w:rPr>
        <w:t xml:space="preserve">Factomize 1st meeting minutes - Done</w: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numPr>
          <w:ilvl w:val="0"/>
          <w:numId w:val="10"/>
        </w:numPr>
        <w:ind w:left="720" w:hanging="360"/>
        <w:rPr>
          <w:color w:val="0000ff"/>
          <w:highlight w:val="white"/>
        </w:rPr>
      </w:pPr>
      <w:r w:rsidDel="00000000" w:rsidR="00000000" w:rsidRPr="00000000">
        <w:rPr>
          <w:color w:val="0000ff"/>
          <w:highlight w:val="white"/>
          <w:rtl w:val="0"/>
        </w:rPr>
        <w:t xml:space="preserve">Define what processes the Guides will use for different tasks such as</w:t>
      </w:r>
    </w:p>
    <w:p w:rsidR="00000000" w:rsidDel="00000000" w:rsidP="00000000" w:rsidRDefault="00000000" w:rsidRPr="00000000" w14:paraId="00000008">
      <w:pPr>
        <w:numPr>
          <w:ilvl w:val="1"/>
          <w:numId w:val="10"/>
        </w:numPr>
        <w:ind w:left="1440" w:hanging="360"/>
        <w:rPr>
          <w:color w:val="0000ff"/>
          <w:highlight w:val="white"/>
        </w:rPr>
      </w:pPr>
      <w:r w:rsidDel="00000000" w:rsidR="00000000" w:rsidRPr="00000000">
        <w:rPr>
          <w:color w:val="0000ff"/>
          <w:highlight w:val="white"/>
          <w:rtl w:val="0"/>
        </w:rPr>
        <w:t xml:space="preserve">Governance Document Editing and Factomizing - </w:t>
      </w:r>
      <w:r w:rsidDel="00000000" w:rsidR="00000000" w:rsidRPr="00000000">
        <w:rPr>
          <w:b w:val="1"/>
          <w:color w:val="0000ff"/>
          <w:highlight w:val="white"/>
          <w:rtl w:val="0"/>
        </w:rPr>
        <w:t xml:space="preserve">DONE!</w:t>
      </w:r>
    </w:p>
    <w:p w:rsidR="00000000" w:rsidDel="00000000" w:rsidP="00000000" w:rsidRDefault="00000000" w:rsidRPr="00000000" w14:paraId="00000009">
      <w:pPr>
        <w:numPr>
          <w:ilvl w:val="1"/>
          <w:numId w:val="10"/>
        </w:numPr>
        <w:ind w:left="1440" w:hanging="360"/>
        <w:rPr>
          <w:color w:val="0000ff"/>
          <w:highlight w:val="white"/>
        </w:rPr>
      </w:pPr>
      <w:r w:rsidDel="00000000" w:rsidR="00000000" w:rsidRPr="00000000">
        <w:rPr>
          <w:color w:val="0000ff"/>
          <w:highlight w:val="white"/>
          <w:rtl w:val="0"/>
        </w:rPr>
        <w:t xml:space="preserve">Documenting work done and document handling</w:t>
      </w:r>
    </w:p>
    <w:p w:rsidR="00000000" w:rsidDel="00000000" w:rsidP="00000000" w:rsidRDefault="00000000" w:rsidRPr="00000000" w14:paraId="0000000A">
      <w:pPr>
        <w:numPr>
          <w:ilvl w:val="1"/>
          <w:numId w:val="10"/>
        </w:numPr>
        <w:ind w:left="1440" w:hanging="360"/>
        <w:rPr>
          <w:color w:val="0000ff"/>
          <w:highlight w:val="white"/>
        </w:rPr>
      </w:pPr>
      <w:r w:rsidDel="00000000" w:rsidR="00000000" w:rsidRPr="00000000">
        <w:rPr>
          <w:color w:val="0000ff"/>
          <w:highlight w:val="white"/>
          <w:rtl w:val="0"/>
        </w:rPr>
        <w:t xml:space="preserve">M3 Authority Node Application Process - </w:t>
      </w:r>
      <w:r w:rsidDel="00000000" w:rsidR="00000000" w:rsidRPr="00000000">
        <w:rPr>
          <w:b w:val="1"/>
          <w:color w:val="0000ff"/>
          <w:highlight w:val="white"/>
          <w:rtl w:val="0"/>
        </w:rPr>
        <w:t xml:space="preserve">In Process</w:t>
      </w: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numPr>
          <w:ilvl w:val="0"/>
          <w:numId w:val="10"/>
        </w:numPr>
        <w:ind w:left="720" w:hanging="360"/>
        <w:rPr>
          <w:color w:val="0000ff"/>
          <w:highlight w:val="white"/>
        </w:rPr>
      </w:pPr>
      <w:r w:rsidDel="00000000" w:rsidR="00000000" w:rsidRPr="00000000">
        <w:rPr>
          <w:color w:val="0000ff"/>
          <w:highlight w:val="white"/>
          <w:rtl w:val="0"/>
        </w:rPr>
        <w:t xml:space="preserve">Set up a list of dates we can have the first meetings, how often (at least 1 per week, per Governance doc), the medium, communication with Community about the meeting times, and how minutes/recording will happen.</w:t>
      </w:r>
    </w:p>
    <w:p w:rsidR="00000000" w:rsidDel="00000000" w:rsidP="00000000" w:rsidRDefault="00000000" w:rsidRPr="00000000" w14:paraId="0000000D">
      <w:pPr>
        <w:ind w:left="0" w:firstLine="0"/>
        <w:rPr>
          <w:highlight w:val="white"/>
        </w:rPr>
      </w:pPr>
      <w:r w:rsidDel="00000000" w:rsidR="00000000" w:rsidRPr="00000000">
        <w:rPr>
          <w:rtl w:val="0"/>
        </w:rPr>
      </w:r>
    </w:p>
    <w:p w:rsidR="00000000" w:rsidDel="00000000" w:rsidP="00000000" w:rsidRDefault="00000000" w:rsidRPr="00000000" w14:paraId="0000000E">
      <w:pPr>
        <w:numPr>
          <w:ilvl w:val="0"/>
          <w:numId w:val="6"/>
        </w:numPr>
        <w:ind w:left="720" w:hanging="360"/>
        <w:rPr>
          <w:highlight w:val="white"/>
        </w:rPr>
      </w:pPr>
      <w:r w:rsidDel="00000000" w:rsidR="00000000" w:rsidRPr="00000000">
        <w:rPr>
          <w:highlight w:val="white"/>
          <w:rtl w:val="0"/>
        </w:rPr>
        <w:t xml:space="preserve">Seek branding/trademark clarification from Factom Inc. </w:t>
      </w:r>
      <w:r w:rsidDel="00000000" w:rsidR="00000000" w:rsidRPr="00000000">
        <w:rPr>
          <w:color w:val="0000ff"/>
          <w:highlight w:val="white"/>
          <w:rtl w:val="0"/>
        </w:rPr>
        <w:t xml:space="preserve">(DAVID NOTE) - Paul commented at 1:56 eastern in Discord with, </w:t>
      </w:r>
      <w:r w:rsidDel="00000000" w:rsidR="00000000" w:rsidRPr="00000000">
        <w:rPr>
          <w:i w:val="1"/>
          <w:color w:val="0000ff"/>
          <w:highlight w:val="white"/>
          <w:rtl w:val="0"/>
        </w:rPr>
        <w:t xml:space="preserve">“We are completely aware of the logo trademark issue. We are working on a solution that allows businesses to freely use the Factom branding. We being Factom inc.  One of the requirements of decentralisation is to not be in charge of even the branding. But the real world has very centralized ideas about branding.”  </w:t>
      </w:r>
      <w:r w:rsidDel="00000000" w:rsidR="00000000" w:rsidRPr="00000000">
        <w:rPr>
          <w:color w:val="0000ff"/>
          <w:highlight w:val="white"/>
          <w:rtl w:val="0"/>
        </w:rPr>
        <w:t xml:space="preserve">I have pinged him with a timeline request for clarification.</w:t>
      </w:r>
    </w:p>
    <w:p w:rsidR="00000000" w:rsidDel="00000000" w:rsidP="00000000" w:rsidRDefault="00000000" w:rsidRPr="00000000" w14:paraId="0000000F">
      <w:pPr>
        <w:ind w:left="0" w:firstLine="0"/>
        <w:rPr>
          <w:highlight w:val="white"/>
        </w:rPr>
      </w:pPr>
      <w:r w:rsidDel="00000000" w:rsidR="00000000" w:rsidRPr="00000000">
        <w:rPr>
          <w:rtl w:val="0"/>
        </w:rPr>
      </w:r>
    </w:p>
    <w:p w:rsidR="00000000" w:rsidDel="00000000" w:rsidP="00000000" w:rsidRDefault="00000000" w:rsidRPr="00000000" w14:paraId="00000010">
      <w:pPr>
        <w:numPr>
          <w:ilvl w:val="0"/>
          <w:numId w:val="10"/>
        </w:numPr>
        <w:ind w:left="720" w:hanging="360"/>
        <w:rPr>
          <w:color w:val="0000ff"/>
          <w:highlight w:val="white"/>
        </w:rPr>
      </w:pPr>
      <w:r w:rsidDel="00000000" w:rsidR="00000000" w:rsidRPr="00000000">
        <w:rPr>
          <w:color w:val="0000ff"/>
          <w:highlight w:val="white"/>
          <w:rtl w:val="0"/>
        </w:rPr>
        <w:t xml:space="preserve">Determine number of Auth Nodes Operators for initial rollout - </w:t>
      </w:r>
      <w:r w:rsidDel="00000000" w:rsidR="00000000" w:rsidRPr="00000000">
        <w:rPr>
          <w:b w:val="1"/>
          <w:color w:val="0000ff"/>
          <w:highlight w:val="white"/>
          <w:rtl w:val="0"/>
        </w:rPr>
        <w:t xml:space="preserve">In Process</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numPr>
          <w:ilvl w:val="0"/>
          <w:numId w:val="10"/>
        </w:numPr>
        <w:ind w:left="720" w:hanging="360"/>
        <w:rPr>
          <w:color w:val="0000ff"/>
          <w:highlight w:val="white"/>
        </w:rPr>
      </w:pPr>
      <w:r w:rsidDel="00000000" w:rsidR="00000000" w:rsidRPr="00000000">
        <w:rPr>
          <w:color w:val="0000ff"/>
          <w:highlight w:val="white"/>
          <w:rtl w:val="0"/>
        </w:rPr>
        <w:t xml:space="preserve">Determine roadmap including Auth Node Application Deadline</w:t>
      </w:r>
      <w:r w:rsidDel="00000000" w:rsidR="00000000" w:rsidRPr="00000000">
        <w:rPr>
          <w:color w:val="0000ff"/>
          <w:highlight w:val="white"/>
          <w:rtl w:val="0"/>
        </w:rPr>
        <w:t xml:space="preserve"> - </w:t>
      </w:r>
      <w:r w:rsidDel="00000000" w:rsidR="00000000" w:rsidRPr="00000000">
        <w:rPr>
          <w:b w:val="1"/>
          <w:color w:val="0000ff"/>
          <w:highlight w:val="white"/>
          <w:rtl w:val="0"/>
        </w:rPr>
        <w:t xml:space="preserve">In Process</w:t>
      </w:r>
    </w:p>
    <w:p w:rsidR="00000000" w:rsidDel="00000000" w:rsidP="00000000" w:rsidRDefault="00000000" w:rsidRPr="00000000" w14:paraId="00000013">
      <w:pPr>
        <w:rPr>
          <w:color w:val="0000ff"/>
          <w:highlight w:val="white"/>
        </w:rPr>
      </w:pPr>
      <w:r w:rsidDel="00000000" w:rsidR="00000000" w:rsidRPr="00000000">
        <w:rPr>
          <w:rtl w:val="0"/>
        </w:rPr>
      </w:r>
    </w:p>
    <w:p w:rsidR="00000000" w:rsidDel="00000000" w:rsidP="00000000" w:rsidRDefault="00000000" w:rsidRPr="00000000" w14:paraId="00000014">
      <w:pPr>
        <w:numPr>
          <w:ilvl w:val="0"/>
          <w:numId w:val="10"/>
        </w:numPr>
        <w:ind w:left="720" w:hanging="360"/>
        <w:rPr>
          <w:color w:val="0000ff"/>
          <w:highlight w:val="white"/>
        </w:rPr>
      </w:pPr>
      <w:r w:rsidDel="00000000" w:rsidR="00000000" w:rsidRPr="00000000">
        <w:rPr>
          <w:color w:val="0000ff"/>
          <w:highlight w:val="white"/>
          <w:rtl w:val="0"/>
        </w:rPr>
        <w:t xml:space="preserve">Provide clearer Authority Node criteria</w:t>
      </w:r>
    </w:p>
    <w:p w:rsidR="00000000" w:rsidDel="00000000" w:rsidP="00000000" w:rsidRDefault="00000000" w:rsidRPr="00000000" w14:paraId="00000015">
      <w:pPr>
        <w:rPr>
          <w:color w:val="0000ff"/>
          <w:highlight w:val="white"/>
        </w:rPr>
      </w:pPr>
      <w:r w:rsidDel="00000000" w:rsidR="00000000" w:rsidRPr="00000000">
        <w:rPr>
          <w:rtl w:val="0"/>
        </w:rPr>
      </w:r>
    </w:p>
    <w:p w:rsidR="00000000" w:rsidDel="00000000" w:rsidP="00000000" w:rsidRDefault="00000000" w:rsidRPr="00000000" w14:paraId="00000016">
      <w:pPr>
        <w:numPr>
          <w:ilvl w:val="0"/>
          <w:numId w:val="10"/>
        </w:numPr>
        <w:ind w:left="720" w:hanging="360"/>
        <w:rPr>
          <w:color w:val="0000ff"/>
          <w:highlight w:val="white"/>
        </w:rPr>
      </w:pPr>
      <w:r w:rsidDel="00000000" w:rsidR="00000000" w:rsidRPr="00000000">
        <w:rPr>
          <w:color w:val="0000ff"/>
          <w:highlight w:val="white"/>
          <w:rtl w:val="0"/>
        </w:rPr>
        <w:t xml:space="preserve">Determine best way to list current Federated Servers, Audit Servers, and Followers registered to be Auth Servers and Operator contact info</w:t>
      </w:r>
    </w:p>
    <w:p w:rsidR="00000000" w:rsidDel="00000000" w:rsidP="00000000" w:rsidRDefault="00000000" w:rsidRPr="00000000" w14:paraId="00000017">
      <w:pPr>
        <w:rPr>
          <w:color w:val="0000ff"/>
          <w:highlight w:val="white"/>
        </w:rPr>
      </w:pPr>
      <w:r w:rsidDel="00000000" w:rsidR="00000000" w:rsidRPr="00000000">
        <w:rPr>
          <w:rtl w:val="0"/>
        </w:rPr>
      </w:r>
    </w:p>
    <w:p w:rsidR="00000000" w:rsidDel="00000000" w:rsidP="00000000" w:rsidRDefault="00000000" w:rsidRPr="00000000" w14:paraId="00000018">
      <w:pPr>
        <w:numPr>
          <w:ilvl w:val="0"/>
          <w:numId w:val="10"/>
        </w:numPr>
        <w:ind w:left="720" w:hanging="360"/>
        <w:rPr>
          <w:color w:val="0000ff"/>
          <w:highlight w:val="white"/>
        </w:rPr>
      </w:pPr>
      <w:r w:rsidDel="00000000" w:rsidR="00000000" w:rsidRPr="00000000">
        <w:rPr>
          <w:color w:val="0000ff"/>
          <w:highlight w:val="white"/>
          <w:rtl w:val="0"/>
        </w:rPr>
        <w:t xml:space="preserve">Determine best way to diversify and monitor geographic and datacenter locations of auth servers. - </w:t>
      </w:r>
      <w:r w:rsidDel="00000000" w:rsidR="00000000" w:rsidRPr="00000000">
        <w:rPr>
          <w:b w:val="1"/>
          <w:color w:val="0000ff"/>
          <w:highlight w:val="white"/>
          <w:rtl w:val="0"/>
        </w:rPr>
        <w:t xml:space="preserve">In Process</w:t>
      </w:r>
    </w:p>
    <w:p w:rsidR="00000000" w:rsidDel="00000000" w:rsidP="00000000" w:rsidRDefault="00000000" w:rsidRPr="00000000" w14:paraId="00000019">
      <w:pPr>
        <w:rPr>
          <w:color w:val="0000ff"/>
          <w:highlight w:val="white"/>
        </w:rPr>
      </w:pPr>
      <w:r w:rsidDel="00000000" w:rsidR="00000000" w:rsidRPr="00000000">
        <w:rPr>
          <w:rtl w:val="0"/>
        </w:rPr>
      </w:r>
    </w:p>
    <w:p w:rsidR="00000000" w:rsidDel="00000000" w:rsidP="00000000" w:rsidRDefault="00000000" w:rsidRPr="00000000" w14:paraId="0000001A">
      <w:pPr>
        <w:numPr>
          <w:ilvl w:val="0"/>
          <w:numId w:val="10"/>
        </w:numPr>
        <w:ind w:left="720" w:hanging="360"/>
        <w:rPr>
          <w:color w:val="0000ff"/>
          <w:highlight w:val="white"/>
        </w:rPr>
      </w:pPr>
      <w:r w:rsidDel="00000000" w:rsidR="00000000" w:rsidRPr="00000000">
        <w:rPr>
          <w:color w:val="0000ff"/>
          <w:highlight w:val="white"/>
          <w:rtl w:val="0"/>
        </w:rPr>
        <w:t xml:space="preserve">Determine and document best practices for communicating with Authority Node Operators, especially in an emergent network situation.</w:t>
      </w:r>
    </w:p>
    <w:p w:rsidR="00000000" w:rsidDel="00000000" w:rsidP="00000000" w:rsidRDefault="00000000" w:rsidRPr="00000000" w14:paraId="0000001B">
      <w:pPr>
        <w:rPr>
          <w:color w:val="0000ff"/>
          <w:highlight w:val="white"/>
        </w:rPr>
      </w:pPr>
      <w:r w:rsidDel="00000000" w:rsidR="00000000" w:rsidRPr="00000000">
        <w:rPr>
          <w:rtl w:val="0"/>
        </w:rPr>
      </w:r>
    </w:p>
    <w:p w:rsidR="00000000" w:rsidDel="00000000" w:rsidP="00000000" w:rsidRDefault="00000000" w:rsidRPr="00000000" w14:paraId="0000001C">
      <w:pPr>
        <w:numPr>
          <w:ilvl w:val="0"/>
          <w:numId w:val="10"/>
        </w:numPr>
        <w:ind w:left="720" w:hanging="360"/>
        <w:rPr>
          <w:color w:val="0000ff"/>
          <w:highlight w:val="white"/>
        </w:rPr>
      </w:pPr>
      <w:r w:rsidDel="00000000" w:rsidR="00000000" w:rsidRPr="00000000">
        <w:rPr>
          <w:color w:val="0000ff"/>
          <w:highlight w:val="white"/>
          <w:rtl w:val="0"/>
        </w:rPr>
        <w:t xml:space="preserve">Take over posting of the, “Weekly Thread” on the /r/factom subreddit and determine what content to share in it. </w:t>
      </w:r>
      <w:r w:rsidDel="00000000" w:rsidR="00000000" w:rsidRPr="00000000">
        <w:rPr>
          <w:color w:val="0000ff"/>
          <w:highlight w:val="white"/>
          <w:rtl w:val="0"/>
        </w:rPr>
        <w:t xml:space="preserve">- </w:t>
      </w:r>
      <w:r w:rsidDel="00000000" w:rsidR="00000000" w:rsidRPr="00000000">
        <w:rPr>
          <w:b w:val="1"/>
          <w:color w:val="0000ff"/>
          <w:highlight w:val="white"/>
          <w:rtl w:val="0"/>
        </w:rPr>
        <w:t xml:space="preserve">DONE!</w:t>
      </w: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numPr>
          <w:ilvl w:val="0"/>
          <w:numId w:val="10"/>
        </w:numPr>
        <w:ind w:left="720" w:hanging="360"/>
        <w:rPr>
          <w:color w:val="0000ff"/>
          <w:highlight w:val="white"/>
        </w:rPr>
      </w:pPr>
      <w:r w:rsidDel="00000000" w:rsidR="00000000" w:rsidRPr="00000000">
        <w:rPr>
          <w:color w:val="0000ff"/>
          <w:highlight w:val="white"/>
          <w:rtl w:val="0"/>
        </w:rPr>
        <w:t xml:space="preserve">Establish best practices for testnet node reliability and monitoring in conjunction with the Testnet Administrator.</w:t>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numPr>
          <w:ilvl w:val="0"/>
          <w:numId w:val="1"/>
        </w:numPr>
        <w:ind w:left="720" w:hanging="360"/>
        <w:rPr>
          <w:highlight w:val="white"/>
        </w:rPr>
      </w:pPr>
      <w:r w:rsidDel="00000000" w:rsidR="00000000" w:rsidRPr="00000000">
        <w:rPr>
          <w:color w:val="0000ff"/>
          <w:highlight w:val="white"/>
          <w:rtl w:val="0"/>
        </w:rPr>
        <w:t xml:space="preserve">Create a list of critical, necessary, and beneficial development grants</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b w:val="1"/>
          <w:highlight w:val="white"/>
          <w:rtl w:val="0"/>
        </w:rPr>
        <w:t xml:space="preserve">- In Process</w:t>
      </w: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color w:val="0000ff"/>
          <w:highlight w:val="white"/>
        </w:rPr>
      </w:pPr>
      <w:r w:rsidDel="00000000" w:rsidR="00000000" w:rsidRPr="00000000">
        <w:rPr>
          <w:color w:val="0000ff"/>
          <w:highlight w:val="white"/>
          <w:rtl w:val="0"/>
        </w:rPr>
        <w:t xml:space="preserve">Clarity from Factom Inc on their relationship going forward (what role will they play exactly, what are they willing to collaborate together on, what not, etc).</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numPr>
          <w:ilvl w:val="0"/>
          <w:numId w:val="1"/>
        </w:numPr>
        <w:ind w:left="720" w:hanging="360"/>
        <w:rPr>
          <w:color w:val="0000ff"/>
          <w:highlight w:val="white"/>
        </w:rPr>
      </w:pPr>
      <w:r w:rsidDel="00000000" w:rsidR="00000000" w:rsidRPr="00000000">
        <w:rPr>
          <w:color w:val="0000ff"/>
          <w:highlight w:val="white"/>
          <w:rtl w:val="0"/>
        </w:rPr>
        <w:t xml:space="preserve">Testnet document ratification process/timeline (was postponed)</w:t>
      </w:r>
    </w:p>
    <w:p w:rsidR="00000000" w:rsidDel="00000000" w:rsidP="00000000" w:rsidRDefault="00000000" w:rsidRPr="00000000" w14:paraId="00000025">
      <w:pPr>
        <w:rPr>
          <w:color w:val="0000ff"/>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color w:val="0000ff"/>
          <w:highlight w:val="white"/>
        </w:rPr>
      </w:pPr>
      <w:r w:rsidDel="00000000" w:rsidR="00000000" w:rsidRPr="00000000">
        <w:rPr>
          <w:color w:val="0000ff"/>
          <w:highlight w:val="white"/>
          <w:rtl w:val="0"/>
        </w:rPr>
        <w:t xml:space="preserve">Election software creation</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numPr>
          <w:ilvl w:val="0"/>
          <w:numId w:val="1"/>
        </w:numPr>
        <w:ind w:left="720" w:hanging="360"/>
        <w:rPr>
          <w:color w:val="0000ff"/>
          <w:highlight w:val="white"/>
        </w:rPr>
      </w:pPr>
      <w:r w:rsidDel="00000000" w:rsidR="00000000" w:rsidRPr="00000000">
        <w:rPr>
          <w:color w:val="0000ff"/>
          <w:highlight w:val="white"/>
          <w:rtl w:val="0"/>
        </w:rPr>
        <w:t xml:space="preserve">Digital Identity Process</w:t>
      </w:r>
      <w:r w:rsidDel="00000000" w:rsidR="00000000" w:rsidRPr="00000000">
        <w:rPr>
          <w:color w:val="0000ff"/>
          <w:highlight w:val="white"/>
          <w:rtl w:val="0"/>
        </w:rPr>
        <w:t xml:space="preserve"> - </w:t>
      </w:r>
      <w:r w:rsidDel="00000000" w:rsidR="00000000" w:rsidRPr="00000000">
        <w:rPr>
          <w:b w:val="1"/>
          <w:color w:val="0000ff"/>
          <w:highlight w:val="white"/>
          <w:rtl w:val="0"/>
        </w:rPr>
        <w:t xml:space="preserve">David Note</w:t>
      </w:r>
      <w:r w:rsidDel="00000000" w:rsidR="00000000" w:rsidRPr="00000000">
        <w:rPr>
          <w:color w:val="0000ff"/>
          <w:highlight w:val="white"/>
          <w:rtl w:val="0"/>
        </w:rPr>
        <w:t xml:space="preserve"> - Per Brian, the necessary software is still under development.</w:t>
      </w:r>
      <w:r w:rsidDel="00000000" w:rsidR="00000000" w:rsidRPr="00000000">
        <w:rPr>
          <w:rtl w:val="0"/>
        </w:rPr>
      </w:r>
    </w:p>
    <w:p w:rsidR="00000000" w:rsidDel="00000000" w:rsidP="00000000" w:rsidRDefault="00000000" w:rsidRPr="00000000" w14:paraId="00000029">
      <w:pPr>
        <w:rPr>
          <w:color w:val="0000ff"/>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rPr>
          <w:color w:val="0000ff"/>
          <w:highlight w:val="white"/>
        </w:rPr>
      </w:pPr>
      <w:r w:rsidDel="00000000" w:rsidR="00000000" w:rsidRPr="00000000">
        <w:rPr>
          <w:color w:val="0000ff"/>
          <w:highlight w:val="white"/>
          <w:rtl w:val="0"/>
        </w:rPr>
        <w:t xml:space="preserve">Intake of development resources (What do we have to work with? Will resources from Factom Inc be available?)</w:t>
      </w: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numPr>
          <w:ilvl w:val="0"/>
          <w:numId w:val="1"/>
        </w:numPr>
        <w:ind w:left="720" w:hanging="360"/>
        <w:rPr>
          <w:color w:val="0000ff"/>
          <w:highlight w:val="white"/>
        </w:rPr>
      </w:pPr>
      <w:r w:rsidDel="00000000" w:rsidR="00000000" w:rsidRPr="00000000">
        <w:rPr>
          <w:color w:val="0000ff"/>
          <w:highlight w:val="white"/>
          <w:rtl w:val="0"/>
        </w:rPr>
        <w:t xml:space="preserve">Governance document basic cleanup (presentational, capitalizing, defined terms, etc.)</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numPr>
          <w:ilvl w:val="0"/>
          <w:numId w:val="1"/>
        </w:numPr>
        <w:ind w:left="720" w:hanging="360"/>
        <w:rPr>
          <w:color w:val="0000ff"/>
          <w:highlight w:val="white"/>
        </w:rPr>
      </w:pPr>
      <w:r w:rsidDel="00000000" w:rsidR="00000000" w:rsidRPr="00000000">
        <w:rPr>
          <w:color w:val="0000ff"/>
          <w:highlight w:val="white"/>
          <w:rtl w:val="0"/>
        </w:rPr>
        <w:t xml:space="preserve">Process for finding sponsors willing to validate grant milestones (section 4.1.5)</w:t>
      </w:r>
    </w:p>
    <w:p w:rsidR="00000000" w:rsidDel="00000000" w:rsidP="00000000" w:rsidRDefault="00000000" w:rsidRPr="00000000" w14:paraId="0000002F">
      <w:pPr>
        <w:rPr>
          <w:color w:val="0000ff"/>
          <w:highlight w:val="white"/>
        </w:rPr>
      </w:pPr>
      <w:r w:rsidDel="00000000" w:rsidR="00000000" w:rsidRPr="00000000">
        <w:rPr>
          <w:rtl w:val="0"/>
        </w:rPr>
      </w:r>
    </w:p>
    <w:p w:rsidR="00000000" w:rsidDel="00000000" w:rsidP="00000000" w:rsidRDefault="00000000" w:rsidRPr="00000000" w14:paraId="00000030">
      <w:pPr>
        <w:numPr>
          <w:ilvl w:val="0"/>
          <w:numId w:val="1"/>
        </w:numPr>
        <w:ind w:left="720" w:hanging="360"/>
        <w:rPr>
          <w:color w:val="0000ff"/>
          <w:highlight w:val="white"/>
        </w:rPr>
      </w:pPr>
      <w:r w:rsidDel="00000000" w:rsidR="00000000" w:rsidRPr="00000000">
        <w:rPr>
          <w:color w:val="0000ff"/>
          <w:highlight w:val="white"/>
          <w:rtl w:val="0"/>
        </w:rPr>
        <w:t xml:space="preserve">Grant support: Cap Proof of Stake?</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numPr>
          <w:ilvl w:val="0"/>
          <w:numId w:val="1"/>
        </w:numPr>
        <w:ind w:left="720" w:hanging="360"/>
        <w:rPr>
          <w:color w:val="0000ff"/>
          <w:highlight w:val="white"/>
        </w:rPr>
      </w:pPr>
      <w:r w:rsidDel="00000000" w:rsidR="00000000" w:rsidRPr="00000000">
        <w:rPr>
          <w:color w:val="0000ff"/>
          <w:highlight w:val="white"/>
          <w:rtl w:val="0"/>
        </w:rPr>
        <w:t xml:space="preserve">Should we consider authorizing formal “observers”. Non-voting but trusted Factom community members to join meetings and provide insight and advice? If we decide that some meetings in the future will have to be private; would this be a way to ensure transparency and auditability? Could we authorize guide observers to answer repeat questions in the guide-questions channel as well, to lessen our workload with the influx of new members that will turn up?</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numPr>
          <w:ilvl w:val="0"/>
          <w:numId w:val="9"/>
        </w:numPr>
        <w:ind w:left="720" w:hanging="360"/>
        <w:rPr>
          <w:color w:val="0000ff"/>
          <w:highlight w:val="white"/>
        </w:rPr>
      </w:pPr>
      <w:r w:rsidDel="00000000" w:rsidR="00000000" w:rsidRPr="00000000">
        <w:rPr>
          <w:color w:val="0000ff"/>
          <w:highlight w:val="white"/>
          <w:rtl w:val="0"/>
        </w:rPr>
        <w:t xml:space="preserve">Github Access - Should a procedure for changing who maintains github be written into the Governance Document?</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numPr>
          <w:ilvl w:val="0"/>
          <w:numId w:val="4"/>
        </w:numPr>
        <w:ind w:left="720" w:hanging="360"/>
        <w:rPr>
          <w:color w:val="0000ff"/>
          <w:highlight w:val="white"/>
        </w:rPr>
      </w:pPr>
      <w:r w:rsidDel="00000000" w:rsidR="00000000" w:rsidRPr="00000000">
        <w:rPr>
          <w:color w:val="0000ff"/>
          <w:highlight w:val="white"/>
          <w:rtl w:val="0"/>
        </w:rPr>
        <w:t xml:space="preserve">Determine how best to </w:t>
      </w:r>
      <w:r w:rsidDel="00000000" w:rsidR="00000000" w:rsidRPr="00000000">
        <w:rPr>
          <w:color w:val="0000ff"/>
          <w:highlight w:val="white"/>
          <w:rtl w:val="0"/>
        </w:rPr>
        <w:t xml:space="preserve">provid</w:t>
      </w:r>
      <w:r w:rsidDel="00000000" w:rsidR="00000000" w:rsidRPr="00000000">
        <w:rPr>
          <w:color w:val="0000ff"/>
          <w:highlight w:val="white"/>
          <w:rtl w:val="0"/>
        </w:rPr>
        <w:t xml:space="preserve">e</w:t>
      </w:r>
      <w:r w:rsidDel="00000000" w:rsidR="00000000" w:rsidRPr="00000000">
        <w:rPr>
          <w:color w:val="0000ff"/>
          <w:highlight w:val="white"/>
          <w:rtl w:val="0"/>
        </w:rPr>
        <w:t xml:space="preserve"> oversight and coordination of the grant process, execution, and evaluation (and those criteria) as specified as Guide roles in 2.2.7 of the Governance Document.</w:t>
      </w:r>
    </w:p>
    <w:p w:rsidR="00000000" w:rsidDel="00000000" w:rsidP="00000000" w:rsidRDefault="00000000" w:rsidRPr="00000000" w14:paraId="00000037">
      <w:pPr>
        <w:rPr>
          <w:color w:val="0000ff"/>
          <w:highlight w:val="white"/>
        </w:rPr>
      </w:pPr>
      <w:r w:rsidDel="00000000" w:rsidR="00000000" w:rsidRPr="00000000">
        <w:rPr>
          <w:rtl w:val="0"/>
        </w:rPr>
      </w:r>
    </w:p>
    <w:p w:rsidR="00000000" w:rsidDel="00000000" w:rsidP="00000000" w:rsidRDefault="00000000" w:rsidRPr="00000000" w14:paraId="00000038">
      <w:pPr>
        <w:numPr>
          <w:ilvl w:val="0"/>
          <w:numId w:val="2"/>
        </w:numPr>
        <w:ind w:left="720" w:hanging="360"/>
        <w:rPr>
          <w:color w:val="0000ff"/>
          <w:highlight w:val="white"/>
        </w:rPr>
      </w:pPr>
      <w:r w:rsidDel="00000000" w:rsidR="00000000" w:rsidRPr="00000000">
        <w:rPr>
          <w:color w:val="0000ff"/>
          <w:highlight w:val="white"/>
          <w:rtl w:val="0"/>
        </w:rPr>
        <w:t xml:space="preserve">Define what a, “Complex Effort” grant is as described in 4.1.5 of the Governance Doc.</w:t>
      </w:r>
    </w:p>
    <w:p w:rsidR="00000000" w:rsidDel="00000000" w:rsidP="00000000" w:rsidRDefault="00000000" w:rsidRPr="00000000" w14:paraId="00000039">
      <w:pPr>
        <w:rPr>
          <w:color w:val="0000ff"/>
          <w:highlight w:val="white"/>
        </w:rPr>
      </w:pPr>
      <w:r w:rsidDel="00000000" w:rsidR="00000000" w:rsidRPr="00000000">
        <w:rPr>
          <w:rtl w:val="0"/>
        </w:rPr>
      </w:r>
    </w:p>
    <w:p w:rsidR="00000000" w:rsidDel="00000000" w:rsidP="00000000" w:rsidRDefault="00000000" w:rsidRPr="00000000" w14:paraId="0000003A">
      <w:pPr>
        <w:numPr>
          <w:ilvl w:val="0"/>
          <w:numId w:val="7"/>
        </w:numPr>
        <w:ind w:left="720" w:hanging="360"/>
        <w:rPr>
          <w:color w:val="0000ff"/>
          <w:highlight w:val="white"/>
        </w:rPr>
      </w:pPr>
      <w:r w:rsidDel="00000000" w:rsidR="00000000" w:rsidRPr="00000000">
        <w:rPr>
          <w:color w:val="0000ff"/>
          <w:highlight w:val="white"/>
          <w:rtl w:val="0"/>
        </w:rPr>
        <w:t xml:space="preserve">Determine the decision making progress, criteria, evaluation matrix, and other processes for selecting authority sets as specified in 3.2.3 of the Governance Doc.</w:t>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numPr>
          <w:ilvl w:val="0"/>
          <w:numId w:val="3"/>
        </w:numPr>
        <w:ind w:left="720" w:hanging="360"/>
        <w:rPr>
          <w:color w:val="0000ff"/>
          <w:highlight w:val="white"/>
        </w:rPr>
      </w:pPr>
      <w:r w:rsidDel="00000000" w:rsidR="00000000" w:rsidRPr="00000000">
        <w:rPr>
          <w:color w:val="0000ff"/>
          <w:highlight w:val="white"/>
          <w:rtl w:val="0"/>
        </w:rPr>
        <w:t xml:space="preserve">Create the roadmap to standing party selection as specified in 3.2.4 of the Governance Doc.</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