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Items Currently Under Discussion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Backpay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Vote Scoring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Keep the current method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Assign ANOs fixed numbers of points to be used on Grants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Binary system with 1, 0, -1 (support, abstain and do not support)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Efficiency-based grant payouts not likely to pass legal muster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Stablecoin allocated as voting rights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Grant pool automatically converted to stablecoin as its funded each block</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Grants denominated in stablecoin</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Grant paid out in stablecoin</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 fee paid out to voters to incentivize voting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Grant Valuations and Payout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Denominated in FCT or fiat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Expectations for Grant Recipients with FCT fluctuations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Apparent Consensus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 Disclosures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Grant applicants to give full disclosure of any ANOs affiliated with the Grant. Affiliated ANOs and ANOs who are also grant applicants cannot vote on that particular grant.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Scoring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ought to move away from 0-100 scoring as it can be used in different ways providing an unpredictable result. After funding all grants in the previous round there were only a few grants left that got over 60 points, while the rest had less due to standing parties voting very low on “competitor grants”.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Staggered Grant Payouts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Break payouts of X duration of time to average out price fluctuations and reduce the risk of large liquidation of FCT on the market. David specifically suggested three months with payouts broken into three segments. The details need to be decided but the idea of staggered payments seems to have support. Brian should be consulted regarding the feasibility.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Sponsors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Appears to be a consensus regarding grantees not being allowed to select their own sponsors.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