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czgd8kootsj" w:id="0"/>
      <w:bookmarkEnd w:id="0"/>
      <w:r w:rsidDel="00000000" w:rsidR="00000000" w:rsidRPr="00000000">
        <w:rPr>
          <w:b w:val="1"/>
          <w:color w:val="990000"/>
          <w:rtl w:val="0"/>
        </w:rPr>
        <w:t xml:space="preserve">Factom Authority Node Operator Committees</w:t>
      </w:r>
      <w:r w:rsidDel="00000000" w:rsidR="00000000" w:rsidRPr="00000000">
        <w:rPr>
          <w:rtl w:val="0"/>
        </w:rPr>
      </w:r>
    </w:p>
    <w:p w:rsidR="00000000" w:rsidDel="00000000" w:rsidP="00000000" w:rsidRDefault="00000000" w:rsidRPr="00000000" w14:paraId="00000002">
      <w:pPr>
        <w:pStyle w:val="Heading2"/>
        <w:jc w:val="center"/>
        <w:rPr>
          <w:b w:val="1"/>
        </w:rPr>
      </w:pPr>
      <w:bookmarkStart w:colFirst="0" w:colLast="0" w:name="_ggnxe8bbw906" w:id="1"/>
      <w:bookmarkEnd w:id="1"/>
      <w:r w:rsidDel="00000000" w:rsidR="00000000" w:rsidRPr="00000000">
        <w:rPr>
          <w:b w:val="1"/>
          <w:rtl w:val="0"/>
        </w:rPr>
        <w:t xml:space="preserve">Exchange Committee </w:t>
      </w:r>
    </w:p>
    <w:p w:rsidR="00000000" w:rsidDel="00000000" w:rsidP="00000000" w:rsidRDefault="00000000" w:rsidRPr="00000000" w14:paraId="00000003">
      <w:pPr>
        <w:pStyle w:val="Heading3"/>
        <w:jc w:val="center"/>
        <w:rPr/>
      </w:pPr>
      <w:bookmarkStart w:colFirst="0" w:colLast="0" w:name="_x1pstsxomblv" w:id="2"/>
      <w:bookmarkEnd w:id="2"/>
      <w:r w:rsidDel="00000000" w:rsidR="00000000" w:rsidRPr="00000000">
        <w:rPr>
          <w:rtl w:val="0"/>
        </w:rPr>
        <w:t xml:space="preserve">Monthly Report: August 2018</w:t>
      </w:r>
    </w:p>
    <w:p w:rsidR="00000000" w:rsidDel="00000000" w:rsidP="00000000" w:rsidRDefault="00000000" w:rsidRPr="00000000" w14:paraId="00000004">
      <w:pPr>
        <w:pStyle w:val="Heading2"/>
        <w:keepNext w:val="0"/>
        <w:keepLines w:val="0"/>
        <w:spacing w:after="0" w:before="0" w:line="288" w:lineRule="auto"/>
        <w:rPr/>
      </w:pPr>
      <w:bookmarkStart w:colFirst="0" w:colLast="0" w:name="_lzpj91imbed4" w:id="3"/>
      <w:bookmarkEnd w:id="3"/>
      <w:r w:rsidDel="00000000" w:rsidR="00000000" w:rsidRPr="00000000">
        <w:rPr>
          <w:rtl w:val="0"/>
        </w:rPr>
      </w:r>
    </w:p>
    <w:p w:rsidR="00000000" w:rsidDel="00000000" w:rsidP="00000000" w:rsidRDefault="00000000" w:rsidRPr="00000000" w14:paraId="00000005">
      <w:pPr>
        <w:pStyle w:val="Heading4"/>
        <w:rPr/>
      </w:pPr>
      <w:bookmarkStart w:colFirst="0" w:colLast="0" w:name="_31mprouj0g0m" w:id="4"/>
      <w:bookmarkEnd w:id="4"/>
      <w:r w:rsidDel="00000000" w:rsidR="00000000" w:rsidRPr="00000000">
        <w:rPr>
          <w:rtl w:val="0"/>
        </w:rPr>
        <w:t xml:space="preserve">Overview</w:t>
      </w:r>
    </w:p>
    <w:p w:rsidR="00000000" w:rsidDel="00000000" w:rsidP="00000000" w:rsidRDefault="00000000" w:rsidRPr="00000000" w14:paraId="00000006">
      <w:pPr>
        <w:rPr/>
      </w:pPr>
      <w:r w:rsidDel="00000000" w:rsidR="00000000" w:rsidRPr="00000000">
        <w:rPr>
          <w:rtl w:val="0"/>
        </w:rPr>
        <w:t xml:space="preserve">We are frustrated to report that we made little progress this month. We were bogged down by red-tape in our approach to endorsing the Exchange Committee via a signed letter. Understandably, many ANOs did not want to pursue that approach. Fortunately, the community brainstormed some alternate methods and BobbyEK from Federate This took the initiative to create the </w:t>
      </w:r>
      <w:hyperlink r:id="rId6">
        <w:r w:rsidDel="00000000" w:rsidR="00000000" w:rsidRPr="00000000">
          <w:rPr>
            <w:color w:val="1155cc"/>
            <w:u w:val="single"/>
            <w:rtl w:val="0"/>
          </w:rPr>
          <w:t xml:space="preserve">endorsement thread on Factomize</w:t>
        </w:r>
      </w:hyperlink>
      <w:r w:rsidDel="00000000" w:rsidR="00000000" w:rsidRPr="00000000">
        <w:rPr>
          <w:rtl w:val="0"/>
        </w:rPr>
        <w:t xml:space="preserve">. We’ve requested Factom Inc. link to the thread from their website and will begin contacting exchanges once that is finished. Finally, we will be utilizing the email “</w:t>
      </w:r>
      <w:hyperlink r:id="rId7">
        <w:r w:rsidDel="00000000" w:rsidR="00000000" w:rsidRPr="00000000">
          <w:rPr>
            <w:color w:val="1155cc"/>
            <w:u w:val="single"/>
            <w:rtl w:val="0"/>
          </w:rPr>
          <w:t xml:space="preserve">exchanges@factomprotocol.org</w:t>
        </w:r>
      </w:hyperlink>
      <w:r w:rsidDel="00000000" w:rsidR="00000000" w:rsidRPr="00000000">
        <w:rPr>
          <w:rtl w:val="0"/>
        </w:rPr>
        <w:t xml:space="preserve">” from which to contact exchanges. Julian with DBGrow has set that up as part of the effort on the neutral website.   </w:t>
      </w:r>
      <w:r w:rsidDel="00000000" w:rsidR="00000000" w:rsidRPr="00000000">
        <w:rPr>
          <w:rtl w:val="0"/>
        </w:rPr>
        <w:br w:type="textWrapping"/>
        <w:br w:type="textWrapping"/>
        <w:t xml:space="preserve">Our progress this month: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Organization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Solved the issue of how to endorse the committee by working with the community to develop multiple endorsement strategies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Set up </w:t>
      </w:r>
      <w:hyperlink r:id="rId8">
        <w:r w:rsidDel="00000000" w:rsidR="00000000" w:rsidRPr="00000000">
          <w:rPr>
            <w:color w:val="1155cc"/>
            <w:u w:val="single"/>
            <w:rtl w:val="0"/>
          </w:rPr>
          <w:t xml:space="preserve">exchanges@factomprotocol.org</w:t>
        </w:r>
      </w:hyperlink>
      <w:r w:rsidDel="00000000" w:rsidR="00000000" w:rsidRPr="00000000">
        <w:rPr>
          <w:rtl w:val="0"/>
        </w:rPr>
        <w:t xml:space="preserve"> email for contacting exchanges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Exchanges</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Heard back from Block DX who said they would add FCT to their integration list</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Factom Inc devs have resolved Poloniex’s issues and the wallet has been re-enabled</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Have received interest from several smaller exchanges; we are investigating the feasibility of adding FCT to them</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Our goals for the next month: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Send exchange letter to at least 10 exchanges who we think will consider listing FCTs without a fee.</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Identify and contact low fee exchanges that have strong growth potential</w:t>
      </w: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Put together the framework required to use a Grant to fund exchange fees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Integrate Multicoin Capital into the Exchange Committee</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Note about Exchange Committee reports:</w:t>
        <w:br w:type="textWrapping"/>
        <w:br w:type="textWrapping"/>
        <w:t xml:space="preserve">The Exchange Committee is committed to providing as much transparency into our work as possible but due to the nature of getting listed on exchanges our team will almost certainly be under NDAs which may even prohibit sharing the name of the exchanges we are currently working with until after a successful listing. We will provide as much insight into our progress as possible but we ask for understanding from the ANOs if we can’t be as specific and detailed as we or the ANO community would like. This is the nature of the game when getting listed on centralized institutions and we will have to play by their rules. </w:t>
      </w:r>
    </w:p>
    <w:p w:rsidR="00000000" w:rsidDel="00000000" w:rsidP="00000000" w:rsidRDefault="00000000" w:rsidRPr="00000000" w14:paraId="0000001B">
      <w:pPr>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factomize.com/forums/threads/endorsement-of-exchange-committee.614/" TargetMode="External"/><Relationship Id="rId7" Type="http://schemas.openxmlformats.org/officeDocument/2006/relationships/hyperlink" Target="mailto:exchanges@factomprotocol.org" TargetMode="External"/><Relationship Id="rId8" Type="http://schemas.openxmlformats.org/officeDocument/2006/relationships/hyperlink" Target="mailto:exchanges@factomprotoco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